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C8" w:rsidRDefault="002D4DC8" w:rsidP="00F26B35">
      <w:pPr>
        <w:jc w:val="center"/>
        <w:rPr>
          <w:rFonts w:asciiTheme="minorHAnsi" w:hAnsiTheme="minorHAnsi"/>
          <w:b/>
          <w:color w:val="FF0000"/>
          <w:sz w:val="22"/>
          <w:szCs w:val="22"/>
        </w:rPr>
      </w:pPr>
    </w:p>
    <w:p w:rsidR="002D4DC8" w:rsidRDefault="002D4DC8" w:rsidP="00F26B35">
      <w:pPr>
        <w:jc w:val="center"/>
        <w:rPr>
          <w:rFonts w:asciiTheme="minorHAnsi" w:hAnsiTheme="minorHAnsi"/>
          <w:b/>
          <w:color w:val="FF0000"/>
          <w:sz w:val="22"/>
          <w:szCs w:val="22"/>
        </w:rPr>
      </w:pPr>
    </w:p>
    <w:p w:rsidR="002D4DC8" w:rsidRDefault="002D4DC8" w:rsidP="00F26B35">
      <w:pPr>
        <w:jc w:val="center"/>
        <w:rPr>
          <w:rFonts w:asciiTheme="minorHAnsi" w:hAnsiTheme="minorHAnsi"/>
          <w:b/>
          <w:color w:val="FF0000"/>
          <w:sz w:val="22"/>
          <w:szCs w:val="22"/>
        </w:rPr>
      </w:pPr>
    </w:p>
    <w:p w:rsidR="002D4DC8" w:rsidRDefault="002D4DC8" w:rsidP="00F26B35">
      <w:pPr>
        <w:jc w:val="center"/>
        <w:rPr>
          <w:rFonts w:asciiTheme="minorHAnsi" w:hAnsiTheme="minorHAnsi"/>
          <w:b/>
          <w:color w:val="FF0000"/>
          <w:sz w:val="22"/>
          <w:szCs w:val="22"/>
        </w:rPr>
      </w:pPr>
    </w:p>
    <w:p w:rsidR="002D4DC8" w:rsidRDefault="002D4DC8" w:rsidP="00F26B35">
      <w:pPr>
        <w:jc w:val="center"/>
        <w:rPr>
          <w:rFonts w:asciiTheme="minorHAnsi" w:hAnsiTheme="minorHAnsi"/>
          <w:b/>
          <w:color w:val="FF0000"/>
          <w:sz w:val="22"/>
          <w:szCs w:val="22"/>
        </w:rPr>
      </w:pPr>
    </w:p>
    <w:p w:rsidR="002D4DC8" w:rsidRDefault="002D4DC8" w:rsidP="00F26B35">
      <w:pPr>
        <w:jc w:val="center"/>
        <w:rPr>
          <w:rFonts w:asciiTheme="minorHAnsi" w:hAnsiTheme="minorHAnsi"/>
          <w:b/>
          <w:color w:val="FF0000"/>
          <w:sz w:val="22"/>
          <w:szCs w:val="22"/>
        </w:rPr>
      </w:pPr>
    </w:p>
    <w:p w:rsidR="002D4DC8" w:rsidRPr="00AA390F" w:rsidRDefault="002D4DC8" w:rsidP="002D4DC8">
      <w:pPr>
        <w:pStyle w:val="Header"/>
        <w:jc w:val="center"/>
        <w:rPr>
          <w:sz w:val="26"/>
        </w:rPr>
      </w:pPr>
      <w:r>
        <w:rPr>
          <w:b/>
          <w:color w:val="1A78AE"/>
          <w:sz w:val="34"/>
        </w:rPr>
        <w:t>AmTrust</w:t>
      </w:r>
      <w:r w:rsidRPr="00AA390F">
        <w:rPr>
          <w:b/>
          <w:color w:val="1A78AE"/>
          <w:sz w:val="34"/>
        </w:rPr>
        <w:t xml:space="preserve"> Mortgage Loan to Value </w:t>
      </w:r>
      <w:r>
        <w:rPr>
          <w:b/>
          <w:color w:val="1A78AE"/>
          <w:sz w:val="34"/>
        </w:rPr>
        <w:t xml:space="preserve">(LTV) </w:t>
      </w:r>
      <w:r w:rsidRPr="00AA390F">
        <w:rPr>
          <w:b/>
          <w:color w:val="1A78AE"/>
          <w:sz w:val="34"/>
        </w:rPr>
        <w:t>Tracker</w:t>
      </w:r>
    </w:p>
    <w:p w:rsidR="002D4DC8" w:rsidRDefault="002D4DC8" w:rsidP="00F26B35">
      <w:pPr>
        <w:jc w:val="center"/>
        <w:rPr>
          <w:rFonts w:asciiTheme="minorHAnsi" w:hAnsiTheme="minorHAnsi"/>
          <w:b/>
          <w:color w:val="FF0000"/>
          <w:sz w:val="22"/>
          <w:szCs w:val="22"/>
        </w:rPr>
      </w:pPr>
    </w:p>
    <w:p w:rsidR="00F26B35" w:rsidRPr="00F03932" w:rsidRDefault="002D4DC8" w:rsidP="00B53C95">
      <w:pPr>
        <w:jc w:val="right"/>
        <w:rPr>
          <w:rFonts w:asciiTheme="minorHAnsi" w:hAnsiTheme="minorHAnsi"/>
          <w:b/>
          <w:sz w:val="22"/>
          <w:szCs w:val="22"/>
        </w:rPr>
      </w:pPr>
      <w:r w:rsidRPr="00F03932">
        <w:rPr>
          <w:rFonts w:asciiTheme="minorHAnsi" w:hAnsiTheme="minorHAnsi"/>
          <w:b/>
          <w:noProof/>
          <w:sz w:val="22"/>
          <w:szCs w:val="22"/>
          <w:lang w:val="en-GB" w:eastAsia="en-GB"/>
        </w:rPr>
        <w:drawing>
          <wp:anchor distT="0" distB="0" distL="114300" distR="114300" simplePos="0" relativeHeight="251663360" behindDoc="0" locked="0" layoutInCell="1" allowOverlap="1">
            <wp:simplePos x="0" y="0"/>
            <wp:positionH relativeFrom="column">
              <wp:posOffset>-447675</wp:posOffset>
            </wp:positionH>
            <wp:positionV relativeFrom="paragraph">
              <wp:posOffset>-1590675</wp:posOffset>
            </wp:positionV>
            <wp:extent cx="1991360" cy="933450"/>
            <wp:effectExtent l="0" t="0" r="8890" b="0"/>
            <wp:wrapNone/>
            <wp:docPr id="2" name="Picture 7" descr="C:\Users\vheslop\AppData\Local\Microsoft\Windows\Temporary Internet Files\Content.Outlook\C43MKTZU\AI_logo2015_Centred_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eslop\AppData\Local\Microsoft\Windows\Temporary Internet Files\Content.Outlook\C43MKTZU\AI_logo2015_Centred_CMYK (00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1360" cy="933450"/>
                    </a:xfrm>
                    <a:prstGeom prst="rect">
                      <a:avLst/>
                    </a:prstGeom>
                    <a:noFill/>
                    <a:ln>
                      <a:noFill/>
                    </a:ln>
                  </pic:spPr>
                </pic:pic>
              </a:graphicData>
            </a:graphic>
          </wp:anchor>
        </w:drawing>
      </w:r>
      <w:r w:rsidR="006A3C28">
        <w:rPr>
          <w:rFonts w:asciiTheme="minorHAnsi" w:hAnsiTheme="minorHAnsi"/>
          <w:b/>
          <w:noProof/>
          <w:sz w:val="22"/>
          <w:szCs w:val="22"/>
          <w:lang w:val="en-GB" w:eastAsia="en-GB"/>
        </w:rPr>
        <w:t>11</w:t>
      </w:r>
      <w:r w:rsidR="000633D1">
        <w:rPr>
          <w:rFonts w:asciiTheme="minorHAnsi" w:hAnsiTheme="minorHAnsi"/>
          <w:b/>
          <w:noProof/>
          <w:sz w:val="22"/>
          <w:szCs w:val="22"/>
          <w:lang w:val="en-GB" w:eastAsia="en-GB"/>
        </w:rPr>
        <w:t xml:space="preserve"> October </w:t>
      </w:r>
      <w:r w:rsidR="00F21C6A">
        <w:rPr>
          <w:rFonts w:asciiTheme="minorHAnsi" w:hAnsiTheme="minorHAnsi"/>
          <w:b/>
          <w:noProof/>
          <w:sz w:val="22"/>
          <w:szCs w:val="22"/>
          <w:lang w:val="en-GB" w:eastAsia="en-GB"/>
        </w:rPr>
        <w:t>2018</w:t>
      </w:r>
    </w:p>
    <w:p w:rsidR="00F26B35" w:rsidRPr="008D2B4A" w:rsidRDefault="00F26B35" w:rsidP="00F26B35">
      <w:pPr>
        <w:jc w:val="center"/>
        <w:rPr>
          <w:rFonts w:asciiTheme="minorHAnsi" w:hAnsiTheme="minorHAnsi"/>
          <w:b/>
          <w:color w:val="FF0000"/>
          <w:sz w:val="16"/>
          <w:szCs w:val="16"/>
        </w:rPr>
      </w:pPr>
    </w:p>
    <w:p w:rsidR="00EF131C" w:rsidRPr="001D1E51" w:rsidRDefault="00E727B7" w:rsidP="001D1E51">
      <w:pPr>
        <w:pStyle w:val="ListParagraph"/>
        <w:ind w:left="360"/>
        <w:jc w:val="center"/>
        <w:rPr>
          <w:rFonts w:asciiTheme="minorHAnsi" w:hAnsiTheme="minorHAnsi"/>
          <w:b/>
          <w:sz w:val="36"/>
        </w:rPr>
      </w:pPr>
      <w:r>
        <w:rPr>
          <w:rFonts w:asciiTheme="minorHAnsi" w:hAnsiTheme="minorHAnsi"/>
          <w:b/>
          <w:sz w:val="36"/>
        </w:rPr>
        <w:t xml:space="preserve">LTV Tracker </w:t>
      </w:r>
      <w:r w:rsidR="00F50A56">
        <w:rPr>
          <w:rFonts w:asciiTheme="minorHAnsi" w:hAnsiTheme="minorHAnsi"/>
          <w:b/>
          <w:sz w:val="36"/>
        </w:rPr>
        <w:t xml:space="preserve">reveals increased </w:t>
      </w:r>
      <w:r w:rsidR="00F50A56">
        <w:rPr>
          <w:rFonts w:asciiTheme="minorHAnsi" w:hAnsiTheme="minorHAnsi"/>
          <w:b/>
          <w:sz w:val="36"/>
        </w:rPr>
        <w:br/>
        <w:t>product choice for first-timers</w:t>
      </w:r>
    </w:p>
    <w:p w:rsidR="008D2B4A" w:rsidRPr="008D2B4A" w:rsidRDefault="008D2B4A" w:rsidP="008D2B4A">
      <w:pPr>
        <w:pStyle w:val="ListParagraph"/>
        <w:ind w:left="360"/>
        <w:rPr>
          <w:rFonts w:asciiTheme="minorHAnsi" w:hAnsiTheme="minorHAnsi"/>
          <w:b/>
          <w:color w:val="FF0000"/>
          <w:sz w:val="22"/>
          <w:szCs w:val="22"/>
        </w:rPr>
      </w:pPr>
    </w:p>
    <w:p w:rsidR="00ED7019" w:rsidRDefault="00E727B7" w:rsidP="00536D59">
      <w:pPr>
        <w:pStyle w:val="ListParagraph"/>
        <w:numPr>
          <w:ilvl w:val="0"/>
          <w:numId w:val="2"/>
        </w:numPr>
        <w:rPr>
          <w:rFonts w:asciiTheme="minorHAnsi" w:hAnsiTheme="minorHAnsi"/>
          <w:b/>
          <w:szCs w:val="22"/>
        </w:rPr>
      </w:pPr>
      <w:r>
        <w:rPr>
          <w:rFonts w:asciiTheme="minorHAnsi" w:hAnsiTheme="minorHAnsi"/>
          <w:b/>
          <w:szCs w:val="22"/>
        </w:rPr>
        <w:t>Product numbers across all reviewed options increases for the first time since the LTV Tracker was established.</w:t>
      </w:r>
    </w:p>
    <w:p w:rsidR="00F87B90" w:rsidRDefault="00F87B90" w:rsidP="00536D59">
      <w:pPr>
        <w:pStyle w:val="ListParagraph"/>
        <w:numPr>
          <w:ilvl w:val="0"/>
          <w:numId w:val="2"/>
        </w:numPr>
        <w:rPr>
          <w:rFonts w:asciiTheme="minorHAnsi" w:hAnsiTheme="minorHAnsi"/>
          <w:b/>
          <w:szCs w:val="22"/>
        </w:rPr>
      </w:pPr>
      <w:r>
        <w:rPr>
          <w:rFonts w:asciiTheme="minorHAnsi" w:hAnsiTheme="minorHAnsi"/>
          <w:b/>
          <w:szCs w:val="22"/>
        </w:rPr>
        <w:t xml:space="preserve">Average rates </w:t>
      </w:r>
      <w:r w:rsidR="00E92E1B">
        <w:rPr>
          <w:rFonts w:asciiTheme="minorHAnsi" w:hAnsiTheme="minorHAnsi"/>
          <w:b/>
          <w:szCs w:val="22"/>
        </w:rPr>
        <w:t xml:space="preserve">drop for those with only 5% deposit but significant disparity in </w:t>
      </w:r>
      <w:r w:rsidR="00F50A56">
        <w:rPr>
          <w:rFonts w:asciiTheme="minorHAnsi" w:hAnsiTheme="minorHAnsi"/>
          <w:b/>
          <w:szCs w:val="22"/>
        </w:rPr>
        <w:t>product options for those with 25% continues.</w:t>
      </w:r>
    </w:p>
    <w:p w:rsidR="00ED7019" w:rsidRDefault="00ED7019" w:rsidP="00536D59">
      <w:pPr>
        <w:pStyle w:val="ListParagraph"/>
        <w:numPr>
          <w:ilvl w:val="0"/>
          <w:numId w:val="2"/>
        </w:numPr>
        <w:rPr>
          <w:rFonts w:asciiTheme="minorHAnsi" w:hAnsiTheme="minorHAnsi"/>
          <w:b/>
          <w:szCs w:val="22"/>
        </w:rPr>
      </w:pPr>
      <w:r>
        <w:rPr>
          <w:rFonts w:asciiTheme="minorHAnsi" w:hAnsiTheme="minorHAnsi"/>
          <w:b/>
          <w:szCs w:val="22"/>
        </w:rPr>
        <w:t xml:space="preserve">Cost of monthly mortgage payments for first-time buyers </w:t>
      </w:r>
      <w:r w:rsidR="00E92E1B">
        <w:rPr>
          <w:rFonts w:asciiTheme="minorHAnsi" w:hAnsiTheme="minorHAnsi"/>
          <w:b/>
          <w:szCs w:val="22"/>
        </w:rPr>
        <w:t>drops back to October 2017 level</w:t>
      </w:r>
      <w:r w:rsidR="00F50A56">
        <w:rPr>
          <w:rFonts w:asciiTheme="minorHAnsi" w:hAnsiTheme="minorHAnsi"/>
          <w:b/>
          <w:szCs w:val="22"/>
        </w:rPr>
        <w:t>s</w:t>
      </w:r>
      <w:r>
        <w:rPr>
          <w:rFonts w:asciiTheme="minorHAnsi" w:hAnsiTheme="minorHAnsi"/>
          <w:b/>
          <w:szCs w:val="22"/>
        </w:rPr>
        <w:t xml:space="preserve">. </w:t>
      </w:r>
    </w:p>
    <w:p w:rsidR="00DA1777" w:rsidRDefault="00DA1777" w:rsidP="00F26B35">
      <w:pPr>
        <w:jc w:val="center"/>
        <w:rPr>
          <w:rFonts w:asciiTheme="minorHAnsi" w:hAnsiTheme="minorHAnsi"/>
          <w:b/>
          <w:color w:val="FF0000"/>
          <w:sz w:val="16"/>
          <w:szCs w:val="16"/>
        </w:rPr>
      </w:pPr>
    </w:p>
    <w:p w:rsidR="00E92E1B" w:rsidRDefault="00E92E1B" w:rsidP="00762FE8">
      <w:pPr>
        <w:rPr>
          <w:rFonts w:asciiTheme="minorHAnsi" w:hAnsiTheme="minorHAnsi"/>
          <w:sz w:val="22"/>
          <w:szCs w:val="22"/>
        </w:rPr>
      </w:pPr>
      <w:r>
        <w:rPr>
          <w:rFonts w:asciiTheme="minorHAnsi" w:hAnsiTheme="minorHAnsi"/>
          <w:sz w:val="22"/>
          <w:szCs w:val="22"/>
        </w:rPr>
        <w:t>Product numbers for those purchasers with both 5% and 25% deposit levels have increased across all mortgage options for the first time since the LTV Tracker was introduced, however those with smaller deposits continue to pay over 50% more each month than their larger deposit counterparts.</w:t>
      </w:r>
    </w:p>
    <w:p w:rsidR="00E92E1B" w:rsidRDefault="00E92E1B" w:rsidP="00762FE8">
      <w:pPr>
        <w:rPr>
          <w:rFonts w:asciiTheme="minorHAnsi" w:hAnsiTheme="minorHAnsi"/>
          <w:sz w:val="22"/>
          <w:szCs w:val="22"/>
        </w:rPr>
      </w:pPr>
    </w:p>
    <w:p w:rsidR="00E92E1B" w:rsidRPr="00762FE8" w:rsidRDefault="00E92E1B" w:rsidP="00E92E1B">
      <w:pPr>
        <w:rPr>
          <w:rFonts w:asciiTheme="minorHAnsi" w:hAnsiTheme="minorHAnsi"/>
          <w:sz w:val="22"/>
          <w:szCs w:val="22"/>
        </w:rPr>
      </w:pPr>
      <w:r>
        <w:rPr>
          <w:rFonts w:asciiTheme="minorHAnsi" w:hAnsiTheme="minorHAnsi"/>
          <w:sz w:val="22"/>
          <w:szCs w:val="22"/>
        </w:rPr>
        <w:t xml:space="preserve">These were among the latest findings from the quarterly AmTrust Mortgage Loan to Value (LTV) Tracker, which </w:t>
      </w:r>
      <w:r w:rsidRPr="00762FE8">
        <w:rPr>
          <w:rFonts w:asciiTheme="minorHAnsi" w:hAnsiTheme="minorHAnsi"/>
          <w:sz w:val="22"/>
          <w:szCs w:val="22"/>
        </w:rPr>
        <w:t>reviews the average monthly mortgage payments for first-time buyers on average loan levels, comparing loans for those with</w:t>
      </w:r>
      <w:r>
        <w:rPr>
          <w:rFonts w:asciiTheme="minorHAnsi" w:hAnsiTheme="minorHAnsi"/>
          <w:sz w:val="22"/>
          <w:szCs w:val="22"/>
        </w:rPr>
        <w:t xml:space="preserve"> a 5% deposit to those with 25%, and </w:t>
      </w:r>
      <w:r w:rsidR="00F50A56">
        <w:rPr>
          <w:rFonts w:asciiTheme="minorHAnsi" w:hAnsiTheme="minorHAnsi"/>
          <w:sz w:val="22"/>
          <w:szCs w:val="22"/>
        </w:rPr>
        <w:t xml:space="preserve">also </w:t>
      </w:r>
      <w:r>
        <w:rPr>
          <w:rFonts w:asciiTheme="minorHAnsi" w:hAnsiTheme="minorHAnsi"/>
          <w:sz w:val="22"/>
          <w:szCs w:val="22"/>
        </w:rPr>
        <w:t xml:space="preserve">looks at the product availability for first-timers. </w:t>
      </w:r>
      <w:r w:rsidRPr="00762FE8">
        <w:rPr>
          <w:rFonts w:asciiTheme="minorHAnsi" w:hAnsiTheme="minorHAnsi"/>
          <w:sz w:val="22"/>
          <w:szCs w:val="22"/>
        </w:rPr>
        <w:t xml:space="preserve"> </w:t>
      </w:r>
    </w:p>
    <w:p w:rsidR="00E92E1B" w:rsidRDefault="00E92E1B" w:rsidP="00762FE8">
      <w:pPr>
        <w:rPr>
          <w:rFonts w:asciiTheme="minorHAnsi" w:hAnsiTheme="minorHAnsi"/>
          <w:sz w:val="22"/>
          <w:szCs w:val="22"/>
        </w:rPr>
      </w:pPr>
    </w:p>
    <w:p w:rsidR="00E92E1B" w:rsidRDefault="00E92E1B" w:rsidP="00762FE8">
      <w:pPr>
        <w:rPr>
          <w:rFonts w:asciiTheme="minorHAnsi" w:hAnsiTheme="minorHAnsi"/>
          <w:sz w:val="22"/>
          <w:szCs w:val="22"/>
        </w:rPr>
      </w:pPr>
      <w:r>
        <w:rPr>
          <w:rFonts w:asciiTheme="minorHAnsi" w:hAnsiTheme="minorHAnsi"/>
          <w:sz w:val="22"/>
          <w:szCs w:val="22"/>
        </w:rPr>
        <w:t xml:space="preserve">Despite two increases in Bank Base Rate (BBR) over the last 12 months, product pricing has stayed consistent with this quarter’s LTV Tracker showing a significant 34 basis points drop in the average rate for a 95% LTV mortgage. </w:t>
      </w:r>
    </w:p>
    <w:p w:rsidR="00E92E1B" w:rsidRDefault="00E92E1B" w:rsidP="00762FE8">
      <w:pPr>
        <w:rPr>
          <w:rFonts w:asciiTheme="minorHAnsi" w:hAnsiTheme="minorHAnsi"/>
          <w:sz w:val="22"/>
          <w:szCs w:val="22"/>
        </w:rPr>
      </w:pPr>
    </w:p>
    <w:p w:rsidR="00E92E1B" w:rsidRDefault="00E92E1B" w:rsidP="00762FE8">
      <w:pPr>
        <w:rPr>
          <w:rFonts w:asciiTheme="minorHAnsi" w:hAnsiTheme="minorHAnsi"/>
          <w:sz w:val="22"/>
          <w:szCs w:val="22"/>
        </w:rPr>
      </w:pPr>
      <w:r>
        <w:rPr>
          <w:rFonts w:asciiTheme="minorHAnsi" w:hAnsiTheme="minorHAnsi"/>
          <w:sz w:val="22"/>
          <w:szCs w:val="22"/>
        </w:rPr>
        <w:t xml:space="preserve">Average rates for those with a 25% deposit only increased by 1 basis point up to 1.75% this quarter from 1.74% back in July.  The rate differential between 75% and 95% LTV loans has therefore narrowed from 2.21% last time to 1.86%, showing a much more competitively-priced high LTV sector than in recent years. </w:t>
      </w:r>
    </w:p>
    <w:p w:rsidR="00E92E1B" w:rsidRDefault="00E92E1B" w:rsidP="00762FE8">
      <w:pPr>
        <w:rPr>
          <w:rFonts w:asciiTheme="minorHAnsi" w:hAnsiTheme="minorHAnsi"/>
          <w:sz w:val="22"/>
          <w:szCs w:val="22"/>
        </w:rPr>
      </w:pPr>
    </w:p>
    <w:p w:rsidR="00AC5C33" w:rsidRDefault="00E92E1B" w:rsidP="00AC5C33">
      <w:pPr>
        <w:rPr>
          <w:rFonts w:asciiTheme="minorHAnsi" w:hAnsiTheme="minorHAnsi"/>
          <w:sz w:val="22"/>
          <w:szCs w:val="22"/>
        </w:rPr>
      </w:pPr>
      <w:r>
        <w:rPr>
          <w:rFonts w:asciiTheme="minorHAnsi" w:hAnsiTheme="minorHAnsi"/>
          <w:sz w:val="22"/>
          <w:szCs w:val="22"/>
        </w:rPr>
        <w:t>However</w:t>
      </w:r>
      <w:r w:rsidR="00A93212">
        <w:rPr>
          <w:rFonts w:asciiTheme="minorHAnsi" w:hAnsiTheme="minorHAnsi"/>
          <w:sz w:val="22"/>
          <w:szCs w:val="22"/>
        </w:rPr>
        <w:t xml:space="preserve">, first-timers with only a 5% deposit can </w:t>
      </w:r>
      <w:r>
        <w:rPr>
          <w:rFonts w:asciiTheme="minorHAnsi" w:hAnsiTheme="minorHAnsi"/>
          <w:sz w:val="22"/>
          <w:szCs w:val="22"/>
        </w:rPr>
        <w:t xml:space="preserve">still </w:t>
      </w:r>
      <w:r w:rsidR="00A93212">
        <w:rPr>
          <w:rFonts w:asciiTheme="minorHAnsi" w:hAnsiTheme="minorHAnsi"/>
          <w:sz w:val="22"/>
          <w:szCs w:val="22"/>
        </w:rPr>
        <w:t xml:space="preserve">expect to pay </w:t>
      </w:r>
      <w:r>
        <w:rPr>
          <w:rFonts w:asciiTheme="minorHAnsi" w:hAnsiTheme="minorHAnsi"/>
          <w:sz w:val="22"/>
          <w:szCs w:val="22"/>
        </w:rPr>
        <w:t>over 50% more each</w:t>
      </w:r>
      <w:r w:rsidR="00A93212">
        <w:rPr>
          <w:rFonts w:asciiTheme="minorHAnsi" w:hAnsiTheme="minorHAnsi"/>
          <w:sz w:val="22"/>
          <w:szCs w:val="22"/>
        </w:rPr>
        <w:t xml:space="preserve"> month for their loans.</w:t>
      </w:r>
      <w:r>
        <w:rPr>
          <w:rFonts w:asciiTheme="minorHAnsi" w:hAnsiTheme="minorHAnsi"/>
          <w:sz w:val="22"/>
          <w:szCs w:val="22"/>
        </w:rPr>
        <w:t xml:space="preserve"> Those with smaller deposits pay (on average) £821 per month/£9,852 each year, while those with 25% deposits pay (on average) £527 per month/£6,324 per year. </w:t>
      </w:r>
    </w:p>
    <w:p w:rsidR="00E92E1B" w:rsidRDefault="00E92E1B" w:rsidP="00AC5C33">
      <w:pPr>
        <w:rPr>
          <w:rFonts w:asciiTheme="minorHAnsi" w:hAnsiTheme="minorHAnsi"/>
          <w:sz w:val="22"/>
          <w:szCs w:val="22"/>
        </w:rPr>
      </w:pPr>
    </w:p>
    <w:p w:rsidR="00E92E1B" w:rsidRDefault="00E92E1B" w:rsidP="00AC5C33">
      <w:pPr>
        <w:rPr>
          <w:rFonts w:asciiTheme="minorHAnsi" w:hAnsiTheme="minorHAnsi"/>
          <w:sz w:val="22"/>
          <w:szCs w:val="22"/>
        </w:rPr>
      </w:pPr>
      <w:r>
        <w:rPr>
          <w:rFonts w:asciiTheme="minorHAnsi" w:hAnsiTheme="minorHAnsi"/>
          <w:sz w:val="22"/>
          <w:szCs w:val="22"/>
        </w:rPr>
        <w:t xml:space="preserve">AmTrust believes that, as the year comes to a close, there will be greater competition in the high LTV sector as lenders seek to secure increased business from first-timers and greater margin on their loans. </w:t>
      </w:r>
      <w:r w:rsidR="00A424E3">
        <w:rPr>
          <w:rFonts w:asciiTheme="minorHAnsi" w:hAnsiTheme="minorHAnsi"/>
          <w:sz w:val="22"/>
          <w:szCs w:val="22"/>
        </w:rPr>
        <w:t xml:space="preserve">Even with further increases to BBR, product pricing for lower-deposit mortgages may sustain their competitiveness as lenders look to increase business share in this part of the market. </w:t>
      </w:r>
    </w:p>
    <w:p w:rsidR="00AC5C33" w:rsidRDefault="00AC5C33" w:rsidP="00762FE8">
      <w:pPr>
        <w:rPr>
          <w:rFonts w:asciiTheme="minorHAnsi" w:hAnsiTheme="minorHAnsi"/>
          <w:sz w:val="22"/>
          <w:szCs w:val="22"/>
        </w:rPr>
      </w:pPr>
    </w:p>
    <w:p w:rsidR="00A93212" w:rsidRDefault="00A93212">
      <w:pPr>
        <w:spacing w:after="160" w:line="259" w:lineRule="auto"/>
        <w:rPr>
          <w:rFonts w:asciiTheme="minorHAnsi" w:hAnsiTheme="minorHAnsi"/>
          <w:sz w:val="22"/>
          <w:szCs w:val="22"/>
        </w:rPr>
      </w:pPr>
      <w:r>
        <w:rPr>
          <w:rFonts w:asciiTheme="minorHAnsi" w:hAnsiTheme="minorHAnsi"/>
          <w:sz w:val="22"/>
          <w:szCs w:val="22"/>
        </w:rPr>
        <w:br w:type="page"/>
      </w:r>
    </w:p>
    <w:p w:rsidR="00762FE8" w:rsidRDefault="00762FE8" w:rsidP="00762FE8">
      <w:pPr>
        <w:spacing w:line="276" w:lineRule="auto"/>
        <w:rPr>
          <w:rFonts w:asciiTheme="minorHAnsi" w:hAnsiTheme="minorHAnsi"/>
          <w:b/>
          <w:sz w:val="20"/>
          <w:szCs w:val="22"/>
        </w:rPr>
      </w:pPr>
      <w:r>
        <w:rPr>
          <w:rFonts w:asciiTheme="minorHAnsi" w:hAnsiTheme="minorHAnsi"/>
          <w:b/>
          <w:sz w:val="20"/>
        </w:rPr>
        <w:lastRenderedPageBreak/>
        <w:t>Table 1: Average monthly repayments: 75% LTV mortgages and 95% LTV mortgages*</w:t>
      </w:r>
    </w:p>
    <w:p w:rsidR="00762FE8" w:rsidRDefault="00762FE8" w:rsidP="00762FE8">
      <w:pPr>
        <w:spacing w:line="276" w:lineRule="auto"/>
        <w:jc w:val="center"/>
        <w:rPr>
          <w:rFonts w:asciiTheme="minorHAnsi" w:hAnsiTheme="minorHAnsi"/>
          <w:b/>
          <w:sz w:val="16"/>
          <w:szCs w:val="16"/>
        </w:rPr>
      </w:pPr>
    </w:p>
    <w:tbl>
      <w:tblPr>
        <w:tblW w:w="8757" w:type="dxa"/>
        <w:tblLook w:val="04A0"/>
      </w:tblPr>
      <w:tblGrid>
        <w:gridCol w:w="1697"/>
        <w:gridCol w:w="2515"/>
        <w:gridCol w:w="2352"/>
        <w:gridCol w:w="2193"/>
      </w:tblGrid>
      <w:tr w:rsidR="00762FE8" w:rsidTr="00762FE8">
        <w:trPr>
          <w:trHeight w:val="738"/>
        </w:trPr>
        <w:tc>
          <w:tcPr>
            <w:tcW w:w="1697" w:type="dxa"/>
            <w:tcBorders>
              <w:top w:val="dashed" w:sz="8" w:space="0" w:color="1F4E79"/>
              <w:left w:val="dashed" w:sz="8" w:space="0" w:color="1F4E79"/>
              <w:bottom w:val="dashed" w:sz="8" w:space="0" w:color="1F4E79"/>
              <w:right w:val="dashed" w:sz="8" w:space="0" w:color="1F4E79"/>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 </w:t>
            </w:r>
          </w:p>
        </w:tc>
        <w:tc>
          <w:tcPr>
            <w:tcW w:w="2515" w:type="dxa"/>
            <w:tcBorders>
              <w:top w:val="dashed" w:sz="8" w:space="0" w:color="1F4E79"/>
              <w:left w:val="nil"/>
              <w:bottom w:val="dashed" w:sz="8" w:space="0" w:color="1F4E79"/>
              <w:right w:val="nil"/>
            </w:tcBorders>
            <w:shd w:val="clear" w:color="auto" w:fill="BDD6EE"/>
            <w:vAlign w:val="center"/>
            <w:hideMark/>
          </w:tcPr>
          <w:p w:rsidR="00762FE8" w:rsidRPr="00762FE8" w:rsidRDefault="00762FE8">
            <w:pPr>
              <w:spacing w:line="252" w:lineRule="auto"/>
              <w:jc w:val="center"/>
              <w:rPr>
                <w:rFonts w:asciiTheme="minorHAnsi" w:hAnsiTheme="minorHAnsi"/>
                <w:b/>
                <w:bCs/>
                <w:color w:val="000000"/>
                <w:sz w:val="20"/>
                <w:szCs w:val="20"/>
              </w:rPr>
            </w:pPr>
            <w:r w:rsidRPr="00762FE8">
              <w:rPr>
                <w:rFonts w:asciiTheme="minorHAnsi" w:hAnsiTheme="minorHAnsi"/>
                <w:b/>
                <w:bCs/>
                <w:color w:val="000000"/>
                <w:sz w:val="20"/>
                <w:szCs w:val="20"/>
              </w:rPr>
              <w:t>75% LTV mortgage</w:t>
            </w:r>
          </w:p>
        </w:tc>
        <w:tc>
          <w:tcPr>
            <w:tcW w:w="2352" w:type="dxa"/>
            <w:tcBorders>
              <w:top w:val="dashed" w:sz="8" w:space="0" w:color="1F4E79"/>
              <w:left w:val="dashed" w:sz="8" w:space="0" w:color="1F4E79"/>
              <w:bottom w:val="dashed" w:sz="8" w:space="0" w:color="1F4E79"/>
              <w:right w:val="nil"/>
            </w:tcBorders>
            <w:shd w:val="clear" w:color="auto" w:fill="BDD6EE"/>
            <w:vAlign w:val="center"/>
            <w:hideMark/>
          </w:tcPr>
          <w:p w:rsidR="00762FE8" w:rsidRPr="00762FE8" w:rsidRDefault="00762FE8">
            <w:pPr>
              <w:spacing w:line="252" w:lineRule="auto"/>
              <w:jc w:val="center"/>
              <w:rPr>
                <w:rFonts w:asciiTheme="minorHAnsi" w:hAnsiTheme="minorHAnsi"/>
                <w:b/>
                <w:bCs/>
                <w:color w:val="000000"/>
                <w:sz w:val="20"/>
                <w:szCs w:val="20"/>
              </w:rPr>
            </w:pPr>
            <w:r w:rsidRPr="00762FE8">
              <w:rPr>
                <w:rFonts w:asciiTheme="minorHAnsi" w:hAnsiTheme="minorHAnsi"/>
                <w:b/>
                <w:bCs/>
                <w:color w:val="000000"/>
                <w:sz w:val="20"/>
                <w:szCs w:val="20"/>
              </w:rPr>
              <w:t>95% LTV mortgage</w:t>
            </w:r>
          </w:p>
        </w:tc>
        <w:tc>
          <w:tcPr>
            <w:tcW w:w="2193" w:type="dxa"/>
            <w:tcBorders>
              <w:top w:val="dashed" w:sz="8" w:space="0" w:color="1F4E79"/>
              <w:left w:val="nil"/>
              <w:bottom w:val="dashed" w:sz="8" w:space="0" w:color="1F4E79"/>
              <w:right w:val="nil"/>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Difference 75</w:t>
            </w:r>
            <w:r w:rsidR="009D5966">
              <w:rPr>
                <w:rFonts w:asciiTheme="minorHAnsi" w:hAnsiTheme="minorHAnsi"/>
                <w:b/>
                <w:bCs/>
                <w:color w:val="000000"/>
                <w:sz w:val="20"/>
                <w:szCs w:val="20"/>
              </w:rPr>
              <w:t>%</w:t>
            </w:r>
            <w:r w:rsidRPr="00762FE8">
              <w:rPr>
                <w:rFonts w:asciiTheme="minorHAnsi" w:hAnsiTheme="minorHAnsi"/>
                <w:b/>
                <w:bCs/>
                <w:color w:val="000000"/>
                <w:sz w:val="20"/>
                <w:szCs w:val="20"/>
              </w:rPr>
              <w:t>-95</w:t>
            </w:r>
            <w:r w:rsidR="009D5966">
              <w:rPr>
                <w:rFonts w:asciiTheme="minorHAnsi" w:hAnsiTheme="minorHAnsi"/>
                <w:b/>
                <w:bCs/>
                <w:color w:val="000000"/>
                <w:sz w:val="20"/>
                <w:szCs w:val="20"/>
              </w:rPr>
              <w:t>%</w:t>
            </w:r>
          </w:p>
        </w:tc>
      </w:tr>
      <w:tr w:rsidR="00762FE8" w:rsidTr="00762FE8">
        <w:trPr>
          <w:trHeight w:val="443"/>
        </w:trPr>
        <w:tc>
          <w:tcPr>
            <w:tcW w:w="1697" w:type="dxa"/>
            <w:tcBorders>
              <w:top w:val="nil"/>
              <w:left w:val="dashed" w:sz="8" w:space="0" w:color="1F4E79"/>
              <w:bottom w:val="dashed" w:sz="8" w:space="0" w:color="1F4E79"/>
              <w:right w:val="dashed" w:sz="8" w:space="0" w:color="1F4E79"/>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Deposit</w:t>
            </w:r>
          </w:p>
        </w:tc>
        <w:tc>
          <w:tcPr>
            <w:tcW w:w="2515" w:type="dxa"/>
            <w:tcBorders>
              <w:top w:val="nil"/>
              <w:left w:val="nil"/>
              <w:bottom w:val="dashed" w:sz="8" w:space="0" w:color="1F4E79"/>
              <w:right w:val="dashed" w:sz="8" w:space="0" w:color="1F4E79"/>
            </w:tcBorders>
            <w:vAlign w:val="center"/>
            <w:hideMark/>
          </w:tcPr>
          <w:p w:rsidR="00762FE8" w:rsidRPr="00762FE8" w:rsidRDefault="006517C3" w:rsidP="00122F0D">
            <w:pPr>
              <w:spacing w:line="252" w:lineRule="auto"/>
              <w:jc w:val="center"/>
              <w:rPr>
                <w:rFonts w:asciiTheme="minorHAnsi" w:hAnsiTheme="minorHAnsi"/>
                <w:color w:val="000000"/>
                <w:sz w:val="20"/>
                <w:szCs w:val="20"/>
              </w:rPr>
            </w:pPr>
            <w:r>
              <w:rPr>
                <w:rFonts w:asciiTheme="minorHAnsi" w:hAnsiTheme="minorHAnsi"/>
                <w:color w:val="000000"/>
                <w:sz w:val="20"/>
                <w:szCs w:val="20"/>
              </w:rPr>
              <w:t>£42,647</w:t>
            </w:r>
          </w:p>
        </w:tc>
        <w:tc>
          <w:tcPr>
            <w:tcW w:w="2352" w:type="dxa"/>
            <w:tcBorders>
              <w:top w:val="nil"/>
              <w:left w:val="nil"/>
              <w:bottom w:val="dashed" w:sz="8" w:space="0" w:color="1F4E79"/>
              <w:right w:val="dashed" w:sz="8" w:space="0" w:color="1F4E79"/>
            </w:tcBorders>
            <w:vAlign w:val="center"/>
            <w:hideMark/>
          </w:tcPr>
          <w:p w:rsidR="00762FE8" w:rsidRP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£8,529</w:t>
            </w:r>
          </w:p>
        </w:tc>
        <w:tc>
          <w:tcPr>
            <w:tcW w:w="2193" w:type="dxa"/>
            <w:tcBorders>
              <w:top w:val="nil"/>
              <w:left w:val="nil"/>
              <w:bottom w:val="dashed" w:sz="8" w:space="0" w:color="1F4E79"/>
              <w:right w:val="dashed" w:sz="8" w:space="0" w:color="1F4E79"/>
            </w:tcBorders>
            <w:vAlign w:val="center"/>
            <w:hideMark/>
          </w:tcPr>
          <w:p w:rsidR="00762FE8" w:rsidRP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£34,118</w:t>
            </w:r>
          </w:p>
        </w:tc>
      </w:tr>
      <w:tr w:rsidR="00762FE8" w:rsidTr="00762FE8">
        <w:trPr>
          <w:trHeight w:val="60"/>
        </w:trPr>
        <w:tc>
          <w:tcPr>
            <w:tcW w:w="1697" w:type="dxa"/>
            <w:tcBorders>
              <w:top w:val="nil"/>
              <w:left w:val="dashed" w:sz="8" w:space="0" w:color="1F4E79"/>
              <w:bottom w:val="dashed" w:sz="8" w:space="0" w:color="1F4E79"/>
              <w:right w:val="dashed" w:sz="8" w:space="0" w:color="1F4E79"/>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Loan</w:t>
            </w:r>
          </w:p>
        </w:tc>
        <w:tc>
          <w:tcPr>
            <w:tcW w:w="2515" w:type="dxa"/>
            <w:tcBorders>
              <w:top w:val="nil"/>
              <w:left w:val="nil"/>
              <w:bottom w:val="dashed" w:sz="8" w:space="0" w:color="1F4E79"/>
              <w:right w:val="dashed" w:sz="8" w:space="0" w:color="1F4E79"/>
            </w:tcBorders>
            <w:vAlign w:val="center"/>
            <w:hideMark/>
          </w:tcPr>
          <w:p w:rsidR="00762FE8" w:rsidRPr="00762FE8" w:rsidRDefault="00B53C95" w:rsidP="006517C3">
            <w:pPr>
              <w:spacing w:line="252" w:lineRule="auto"/>
              <w:jc w:val="center"/>
              <w:rPr>
                <w:rFonts w:asciiTheme="minorHAnsi" w:hAnsiTheme="minorHAnsi"/>
                <w:color w:val="000000"/>
                <w:sz w:val="20"/>
                <w:szCs w:val="20"/>
              </w:rPr>
            </w:pPr>
            <w:r>
              <w:rPr>
                <w:rFonts w:asciiTheme="minorHAnsi" w:hAnsiTheme="minorHAnsi"/>
                <w:color w:val="000000"/>
                <w:sz w:val="20"/>
                <w:szCs w:val="20"/>
              </w:rPr>
              <w:t>£</w:t>
            </w:r>
            <w:r w:rsidR="006517C3">
              <w:rPr>
                <w:rFonts w:asciiTheme="minorHAnsi" w:hAnsiTheme="minorHAnsi"/>
                <w:color w:val="000000"/>
                <w:sz w:val="20"/>
                <w:szCs w:val="20"/>
              </w:rPr>
              <w:t>127,941</w:t>
            </w:r>
          </w:p>
        </w:tc>
        <w:tc>
          <w:tcPr>
            <w:tcW w:w="2352" w:type="dxa"/>
            <w:tcBorders>
              <w:top w:val="nil"/>
              <w:left w:val="nil"/>
              <w:bottom w:val="dashed" w:sz="8" w:space="0" w:color="1F4E79"/>
              <w:right w:val="dashed" w:sz="8" w:space="0" w:color="1F4E79"/>
            </w:tcBorders>
            <w:vAlign w:val="center"/>
            <w:hideMark/>
          </w:tcPr>
          <w:p w:rsidR="00762FE8" w:rsidRP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£162,059</w:t>
            </w:r>
          </w:p>
        </w:tc>
        <w:tc>
          <w:tcPr>
            <w:tcW w:w="2193" w:type="dxa"/>
            <w:tcBorders>
              <w:top w:val="nil"/>
              <w:left w:val="nil"/>
              <w:bottom w:val="dashed" w:sz="8" w:space="0" w:color="1F4E79"/>
              <w:right w:val="dashed" w:sz="8" w:space="0" w:color="1F4E79"/>
            </w:tcBorders>
            <w:vAlign w:val="center"/>
            <w:hideMark/>
          </w:tcPr>
          <w:p w:rsidR="00762FE8" w:rsidRPr="00762FE8" w:rsidRDefault="00762FE8">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 </w:t>
            </w:r>
          </w:p>
        </w:tc>
      </w:tr>
      <w:tr w:rsidR="00762FE8" w:rsidTr="00762FE8">
        <w:trPr>
          <w:trHeight w:val="528"/>
        </w:trPr>
        <w:tc>
          <w:tcPr>
            <w:tcW w:w="1697" w:type="dxa"/>
            <w:tcBorders>
              <w:top w:val="nil"/>
              <w:left w:val="dashed" w:sz="8" w:space="0" w:color="1F4E79"/>
              <w:bottom w:val="dashed" w:sz="8" w:space="0" w:color="1F4E79"/>
              <w:right w:val="dashed" w:sz="8" w:space="0" w:color="1F4E79"/>
            </w:tcBorders>
            <w:shd w:val="clear" w:color="auto" w:fill="BDD6EE"/>
            <w:vAlign w:val="center"/>
            <w:hideMark/>
          </w:tcPr>
          <w:p w:rsidR="00762FE8" w:rsidRPr="00762FE8" w:rsidRDefault="00762FE8" w:rsidP="00F50A56">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 xml:space="preserve">Interest rate </w:t>
            </w:r>
            <w:r w:rsidR="00F50A56">
              <w:rPr>
                <w:rFonts w:asciiTheme="minorHAnsi" w:hAnsiTheme="minorHAnsi"/>
                <w:b/>
                <w:bCs/>
                <w:color w:val="000000"/>
                <w:sz w:val="20"/>
                <w:szCs w:val="20"/>
              </w:rPr>
              <w:t>August</w:t>
            </w:r>
            <w:r w:rsidRPr="00762FE8">
              <w:rPr>
                <w:rFonts w:asciiTheme="minorHAnsi" w:hAnsiTheme="minorHAnsi"/>
                <w:b/>
                <w:bCs/>
                <w:color w:val="000000"/>
                <w:sz w:val="20"/>
                <w:szCs w:val="20"/>
              </w:rPr>
              <w:t xml:space="preserve"> 201</w:t>
            </w:r>
            <w:r w:rsidR="00122F0D">
              <w:rPr>
                <w:rFonts w:asciiTheme="minorHAnsi" w:hAnsiTheme="minorHAnsi"/>
                <w:b/>
                <w:bCs/>
                <w:color w:val="000000"/>
                <w:sz w:val="20"/>
                <w:szCs w:val="20"/>
              </w:rPr>
              <w:t>8</w:t>
            </w:r>
            <w:r w:rsidRPr="00762FE8">
              <w:rPr>
                <w:rFonts w:asciiTheme="minorHAnsi" w:hAnsiTheme="minorHAnsi"/>
                <w:b/>
                <w:bCs/>
                <w:color w:val="000000"/>
                <w:sz w:val="20"/>
                <w:szCs w:val="20"/>
              </w:rPr>
              <w:t xml:space="preserve"> (average)</w:t>
            </w:r>
          </w:p>
        </w:tc>
        <w:tc>
          <w:tcPr>
            <w:tcW w:w="2515" w:type="dxa"/>
            <w:tcBorders>
              <w:top w:val="nil"/>
              <w:left w:val="nil"/>
              <w:bottom w:val="dashed" w:sz="8" w:space="0" w:color="1F4E79"/>
              <w:right w:val="dashed" w:sz="8" w:space="0" w:color="1F4E79"/>
            </w:tcBorders>
            <w:vAlign w:val="center"/>
            <w:hideMark/>
          </w:tcPr>
          <w:p w:rsidR="00762FE8" w:rsidRP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1.75% (1.74%)</w:t>
            </w:r>
          </w:p>
        </w:tc>
        <w:tc>
          <w:tcPr>
            <w:tcW w:w="2352" w:type="dxa"/>
            <w:tcBorders>
              <w:top w:val="nil"/>
              <w:left w:val="nil"/>
              <w:bottom w:val="dashed" w:sz="8" w:space="0" w:color="1F4E79"/>
              <w:right w:val="dashed" w:sz="8" w:space="0" w:color="1F4E79"/>
            </w:tcBorders>
            <w:vAlign w:val="center"/>
            <w:hideMark/>
          </w:tcPr>
          <w:p w:rsidR="00762FE8" w:rsidRP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3.61% (3.95%)</w:t>
            </w:r>
          </w:p>
        </w:tc>
        <w:tc>
          <w:tcPr>
            <w:tcW w:w="2193" w:type="dxa"/>
            <w:tcBorders>
              <w:top w:val="nil"/>
              <w:left w:val="nil"/>
              <w:bottom w:val="dashed" w:sz="8" w:space="0" w:color="1F4E79"/>
              <w:right w:val="dashed" w:sz="8" w:space="0" w:color="1F4E79"/>
            </w:tcBorders>
            <w:vAlign w:val="center"/>
            <w:hideMark/>
          </w:tcPr>
          <w:p w:rsidR="00762FE8" w:rsidRP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1.86% (2.21%)</w:t>
            </w:r>
          </w:p>
        </w:tc>
      </w:tr>
      <w:tr w:rsidR="00762FE8" w:rsidTr="00762FE8">
        <w:trPr>
          <w:trHeight w:val="60"/>
        </w:trPr>
        <w:tc>
          <w:tcPr>
            <w:tcW w:w="1697" w:type="dxa"/>
            <w:tcBorders>
              <w:top w:val="nil"/>
              <w:left w:val="dashed" w:sz="8" w:space="0" w:color="1F4E79"/>
              <w:bottom w:val="dashed" w:sz="8" w:space="0" w:color="1F4E79"/>
              <w:right w:val="dashed" w:sz="8" w:space="0" w:color="1F4E79"/>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Monthly fixed payment (two years)</w:t>
            </w:r>
          </w:p>
        </w:tc>
        <w:tc>
          <w:tcPr>
            <w:tcW w:w="2515" w:type="dxa"/>
            <w:tcBorders>
              <w:top w:val="nil"/>
              <w:left w:val="nil"/>
              <w:bottom w:val="dashed" w:sz="8" w:space="0" w:color="1F4E79"/>
              <w:right w:val="dashed" w:sz="8" w:space="0" w:color="1F4E79"/>
            </w:tcBorders>
            <w:vAlign w:val="center"/>
            <w:hideMark/>
          </w:tcPr>
          <w:p w:rsidR="00762FE8" w:rsidRP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£527 (£516</w:t>
            </w:r>
            <w:r w:rsidR="00B53C95">
              <w:rPr>
                <w:rFonts w:asciiTheme="minorHAnsi" w:hAnsiTheme="minorHAnsi"/>
                <w:color w:val="000000"/>
                <w:sz w:val="20"/>
                <w:szCs w:val="20"/>
              </w:rPr>
              <w:t>)</w:t>
            </w:r>
          </w:p>
        </w:tc>
        <w:tc>
          <w:tcPr>
            <w:tcW w:w="2352" w:type="dxa"/>
            <w:tcBorders>
              <w:top w:val="nil"/>
              <w:left w:val="nil"/>
              <w:bottom w:val="dashed" w:sz="8" w:space="0" w:color="1F4E79"/>
              <w:right w:val="dashed" w:sz="8" w:space="0" w:color="1F4E79"/>
            </w:tcBorders>
            <w:vAlign w:val="center"/>
            <w:hideMark/>
          </w:tcPr>
          <w:p w:rsidR="00762FE8" w:rsidRP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£821 (£834)</w:t>
            </w:r>
          </w:p>
        </w:tc>
        <w:tc>
          <w:tcPr>
            <w:tcW w:w="2193" w:type="dxa"/>
            <w:tcBorders>
              <w:top w:val="nil"/>
              <w:left w:val="nil"/>
              <w:bottom w:val="dashed" w:sz="8" w:space="0" w:color="1F4E79"/>
              <w:right w:val="dashed" w:sz="8" w:space="0" w:color="1F4E79"/>
            </w:tcBorders>
            <w:shd w:val="clear" w:color="auto" w:fill="C5D9F1"/>
            <w:vAlign w:val="center"/>
            <w:hideMark/>
          </w:tcPr>
          <w:p w:rsidR="00762FE8" w:rsidRP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55.7% (61.6%)</w:t>
            </w:r>
          </w:p>
        </w:tc>
      </w:tr>
      <w:tr w:rsidR="00762FE8" w:rsidTr="00762FE8">
        <w:trPr>
          <w:trHeight w:val="223"/>
        </w:trPr>
        <w:tc>
          <w:tcPr>
            <w:tcW w:w="1697" w:type="dxa"/>
            <w:tcBorders>
              <w:top w:val="nil"/>
              <w:left w:val="dashed" w:sz="8" w:space="0" w:color="1F4E79"/>
              <w:bottom w:val="dashed" w:sz="8" w:space="0" w:color="1F4E79"/>
              <w:right w:val="dashed" w:sz="8" w:space="0" w:color="1F4E79"/>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Annual payment</w:t>
            </w:r>
          </w:p>
        </w:tc>
        <w:tc>
          <w:tcPr>
            <w:tcW w:w="2515" w:type="dxa"/>
            <w:tcBorders>
              <w:top w:val="nil"/>
              <w:left w:val="nil"/>
              <w:bottom w:val="dashed" w:sz="8" w:space="0" w:color="1F4E79"/>
              <w:right w:val="dashed" w:sz="8" w:space="0" w:color="1F4E79"/>
            </w:tcBorders>
            <w:vAlign w:val="center"/>
            <w:hideMark/>
          </w:tcPr>
          <w:p w:rsidR="00762FE8" w:rsidRPr="00762FE8" w:rsidRDefault="006517C3" w:rsidP="006517C3">
            <w:pPr>
              <w:spacing w:line="252" w:lineRule="auto"/>
              <w:jc w:val="center"/>
              <w:rPr>
                <w:rFonts w:asciiTheme="minorHAnsi" w:hAnsiTheme="minorHAnsi"/>
                <w:color w:val="000000"/>
                <w:sz w:val="20"/>
                <w:szCs w:val="20"/>
              </w:rPr>
            </w:pPr>
            <w:r>
              <w:rPr>
                <w:rFonts w:asciiTheme="minorHAnsi" w:hAnsiTheme="minorHAnsi"/>
                <w:color w:val="000000"/>
                <w:sz w:val="20"/>
                <w:szCs w:val="20"/>
              </w:rPr>
              <w:t>£6,324 (£6,192)</w:t>
            </w:r>
          </w:p>
        </w:tc>
        <w:tc>
          <w:tcPr>
            <w:tcW w:w="2352" w:type="dxa"/>
            <w:tcBorders>
              <w:top w:val="nil"/>
              <w:left w:val="nil"/>
              <w:bottom w:val="dashed" w:sz="8" w:space="0" w:color="1F4E79"/>
              <w:right w:val="dashed" w:sz="8" w:space="0" w:color="1F4E79"/>
            </w:tcBorders>
            <w:vAlign w:val="center"/>
            <w:hideMark/>
          </w:tcPr>
          <w:p w:rsidR="00762FE8" w:rsidRP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£9,852 (£10,008)</w:t>
            </w:r>
          </w:p>
        </w:tc>
        <w:tc>
          <w:tcPr>
            <w:tcW w:w="2193" w:type="dxa"/>
            <w:tcBorders>
              <w:top w:val="nil"/>
              <w:left w:val="nil"/>
              <w:bottom w:val="dashed" w:sz="8" w:space="0" w:color="1F4E79"/>
              <w:right w:val="dashed" w:sz="8" w:space="0" w:color="1F4E79"/>
            </w:tcBorders>
            <w:shd w:val="clear" w:color="auto" w:fill="C5D9F1"/>
            <w:vAlign w:val="center"/>
            <w:hideMark/>
          </w:tcPr>
          <w:p w:rsidR="00762FE8" w:rsidRP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55.7% (61.6%)</w:t>
            </w:r>
          </w:p>
        </w:tc>
      </w:tr>
    </w:tbl>
    <w:p w:rsidR="00762FE8" w:rsidRDefault="00762FE8" w:rsidP="00762FE8">
      <w:pPr>
        <w:jc w:val="both"/>
        <w:rPr>
          <w:rFonts w:asciiTheme="minorHAnsi" w:hAnsiTheme="minorHAnsi"/>
          <w:i/>
          <w:sz w:val="20"/>
          <w:szCs w:val="22"/>
        </w:rPr>
      </w:pPr>
    </w:p>
    <w:p w:rsidR="00762FE8" w:rsidRDefault="00762FE8" w:rsidP="00762FE8">
      <w:pPr>
        <w:rPr>
          <w:rFonts w:asciiTheme="minorHAnsi" w:eastAsiaTheme="minorHAnsi" w:hAnsiTheme="minorHAnsi"/>
          <w:b/>
          <w:color w:val="FF0000"/>
          <w:sz w:val="22"/>
          <w:lang w:val="en-GB" w:eastAsia="en-GB"/>
        </w:rPr>
      </w:pPr>
      <w:r>
        <w:rPr>
          <w:rFonts w:asciiTheme="minorHAnsi" w:hAnsiTheme="minorHAnsi"/>
          <w:i/>
          <w:sz w:val="20"/>
        </w:rPr>
        <w:t xml:space="preserve">Source: AmTrust Mortgage &amp; Credit, Money Saving Expert, </w:t>
      </w:r>
      <w:r w:rsidR="009B41AE">
        <w:rPr>
          <w:rFonts w:asciiTheme="minorHAnsi" w:hAnsiTheme="minorHAnsi"/>
          <w:i/>
          <w:sz w:val="20"/>
        </w:rPr>
        <w:t>UK Finance</w:t>
      </w:r>
      <w:r>
        <w:rPr>
          <w:rFonts w:asciiTheme="minorHAnsi" w:hAnsiTheme="minorHAnsi"/>
          <w:i/>
          <w:sz w:val="20"/>
        </w:rPr>
        <w:t>, Bank of England</w:t>
      </w:r>
    </w:p>
    <w:p w:rsidR="00762FE8" w:rsidRDefault="00E807E8" w:rsidP="00762FE8">
      <w:pPr>
        <w:rPr>
          <w:rFonts w:asciiTheme="minorHAnsi" w:hAnsiTheme="minorHAnsi"/>
          <w:i/>
          <w:sz w:val="20"/>
        </w:rPr>
      </w:pPr>
      <w:r>
        <w:rPr>
          <w:rFonts w:asciiTheme="minorHAnsi" w:hAnsiTheme="minorHAnsi"/>
          <w:i/>
          <w:sz w:val="20"/>
        </w:rPr>
        <w:t>Figures in brackets – Q</w:t>
      </w:r>
      <w:r w:rsidR="00B804CA">
        <w:rPr>
          <w:rFonts w:asciiTheme="minorHAnsi" w:hAnsiTheme="minorHAnsi"/>
          <w:i/>
          <w:sz w:val="20"/>
        </w:rPr>
        <w:t>2</w:t>
      </w:r>
      <w:r w:rsidR="00B53C95">
        <w:rPr>
          <w:rFonts w:asciiTheme="minorHAnsi" w:hAnsiTheme="minorHAnsi"/>
          <w:i/>
          <w:sz w:val="20"/>
        </w:rPr>
        <w:t xml:space="preserve"> </w:t>
      </w:r>
      <w:r w:rsidR="00122F0D">
        <w:rPr>
          <w:rFonts w:asciiTheme="minorHAnsi" w:hAnsiTheme="minorHAnsi"/>
          <w:i/>
          <w:sz w:val="20"/>
        </w:rPr>
        <w:t>2018</w:t>
      </w:r>
      <w:r w:rsidR="00A00146">
        <w:rPr>
          <w:rFonts w:asciiTheme="minorHAnsi" w:hAnsiTheme="minorHAnsi"/>
          <w:i/>
          <w:sz w:val="20"/>
        </w:rPr>
        <w:t xml:space="preserve"> LTV Tracker </w:t>
      </w:r>
      <w:r>
        <w:rPr>
          <w:rFonts w:asciiTheme="minorHAnsi" w:hAnsiTheme="minorHAnsi"/>
          <w:i/>
          <w:sz w:val="20"/>
        </w:rPr>
        <w:t>results.</w:t>
      </w:r>
    </w:p>
    <w:p w:rsidR="00762FE8" w:rsidRDefault="00762FE8" w:rsidP="00762FE8">
      <w:pPr>
        <w:spacing w:line="276" w:lineRule="auto"/>
        <w:jc w:val="both"/>
        <w:rPr>
          <w:rFonts w:asciiTheme="minorHAnsi" w:hAnsiTheme="minorHAnsi" w:cs="Arial"/>
          <w:i/>
          <w:sz w:val="20"/>
          <w:szCs w:val="20"/>
        </w:rPr>
      </w:pPr>
      <w:r>
        <w:rPr>
          <w:rFonts w:asciiTheme="minorHAnsi" w:hAnsiTheme="minorHAnsi" w:cs="Arial"/>
          <w:i/>
          <w:sz w:val="20"/>
          <w:szCs w:val="20"/>
        </w:rPr>
        <w:t>*Based on an average first-time buyer house price of £</w:t>
      </w:r>
      <w:r w:rsidR="006517C3">
        <w:rPr>
          <w:rFonts w:asciiTheme="minorHAnsi" w:hAnsiTheme="minorHAnsi" w:cs="Arial"/>
          <w:i/>
          <w:sz w:val="20"/>
          <w:szCs w:val="20"/>
        </w:rPr>
        <w:t>170,588</w:t>
      </w:r>
      <w:r>
        <w:rPr>
          <w:rFonts w:asciiTheme="minorHAnsi" w:hAnsiTheme="minorHAnsi" w:cs="Arial"/>
          <w:i/>
          <w:sz w:val="20"/>
          <w:szCs w:val="20"/>
        </w:rPr>
        <w:t xml:space="preserve"> (</w:t>
      </w:r>
      <w:r w:rsidR="009B41AE">
        <w:rPr>
          <w:rFonts w:asciiTheme="minorHAnsi" w:hAnsiTheme="minorHAnsi" w:cs="Arial"/>
          <w:i/>
          <w:sz w:val="20"/>
          <w:szCs w:val="20"/>
        </w:rPr>
        <w:t>UK Finance</w:t>
      </w:r>
      <w:r>
        <w:rPr>
          <w:rFonts w:asciiTheme="minorHAnsi" w:hAnsiTheme="minorHAnsi" w:cs="Arial"/>
          <w:i/>
          <w:sz w:val="20"/>
          <w:szCs w:val="20"/>
        </w:rPr>
        <w:t xml:space="preserve"> – </w:t>
      </w:r>
      <w:r w:rsidR="00B804CA">
        <w:rPr>
          <w:rFonts w:asciiTheme="minorHAnsi" w:hAnsiTheme="minorHAnsi" w:cs="Arial"/>
          <w:i/>
          <w:sz w:val="20"/>
          <w:szCs w:val="20"/>
        </w:rPr>
        <w:t>July</w:t>
      </w:r>
      <w:r w:rsidR="00122F0D">
        <w:rPr>
          <w:rFonts w:asciiTheme="minorHAnsi" w:hAnsiTheme="minorHAnsi" w:cs="Arial"/>
          <w:i/>
          <w:sz w:val="20"/>
          <w:szCs w:val="20"/>
        </w:rPr>
        <w:t xml:space="preserve"> 2018</w:t>
      </w:r>
      <w:r>
        <w:rPr>
          <w:rFonts w:asciiTheme="minorHAnsi" w:hAnsiTheme="minorHAnsi" w:cs="Arial"/>
          <w:i/>
          <w:sz w:val="20"/>
          <w:szCs w:val="20"/>
        </w:rPr>
        <w:t>)</w:t>
      </w:r>
    </w:p>
    <w:p w:rsidR="00762FE8" w:rsidRDefault="00762FE8" w:rsidP="00762FE8">
      <w:pPr>
        <w:spacing w:line="276" w:lineRule="auto"/>
        <w:rPr>
          <w:rFonts w:asciiTheme="minorHAnsi" w:hAnsiTheme="minorHAnsi"/>
          <w:sz w:val="22"/>
          <w:szCs w:val="22"/>
        </w:rPr>
      </w:pPr>
    </w:p>
    <w:p w:rsidR="00762FE8" w:rsidRPr="00762FE8" w:rsidRDefault="00605E9C" w:rsidP="00762FE8">
      <w:pPr>
        <w:spacing w:line="276" w:lineRule="auto"/>
        <w:rPr>
          <w:rFonts w:asciiTheme="minorHAnsi" w:hAnsiTheme="minorHAnsi"/>
          <w:b/>
          <w:sz w:val="22"/>
          <w:szCs w:val="22"/>
        </w:rPr>
      </w:pPr>
      <w:r>
        <w:rPr>
          <w:rFonts w:asciiTheme="minorHAnsi" w:hAnsiTheme="minorHAnsi"/>
          <w:b/>
          <w:sz w:val="22"/>
          <w:szCs w:val="22"/>
        </w:rPr>
        <w:t xml:space="preserve">Product numbers </w:t>
      </w:r>
      <w:r w:rsidR="00740BFC">
        <w:rPr>
          <w:rFonts w:asciiTheme="minorHAnsi" w:hAnsiTheme="minorHAnsi"/>
          <w:b/>
          <w:sz w:val="22"/>
          <w:szCs w:val="22"/>
        </w:rPr>
        <w:t>continue to fluctuate</w:t>
      </w:r>
    </w:p>
    <w:p w:rsidR="00762FE8" w:rsidRDefault="00762FE8" w:rsidP="00762FE8">
      <w:pPr>
        <w:spacing w:line="276" w:lineRule="auto"/>
        <w:rPr>
          <w:rFonts w:asciiTheme="minorHAnsi" w:hAnsiTheme="minorHAnsi"/>
          <w:sz w:val="22"/>
          <w:szCs w:val="22"/>
        </w:rPr>
      </w:pPr>
    </w:p>
    <w:p w:rsidR="005E59B6" w:rsidRDefault="00E727B7" w:rsidP="00A93212">
      <w:pPr>
        <w:spacing w:line="276" w:lineRule="auto"/>
        <w:rPr>
          <w:rFonts w:asciiTheme="minorHAnsi" w:hAnsiTheme="minorHAnsi"/>
          <w:sz w:val="22"/>
          <w:szCs w:val="22"/>
        </w:rPr>
      </w:pPr>
      <w:r>
        <w:rPr>
          <w:rFonts w:asciiTheme="minorHAnsi" w:hAnsiTheme="minorHAnsi"/>
          <w:sz w:val="22"/>
          <w:szCs w:val="22"/>
        </w:rPr>
        <w:t>Greater lender interest in first-time buyer business is also being reflected strongly within the market, with a growing number of products for both 75% and 95% LTV borrowers.</w:t>
      </w:r>
    </w:p>
    <w:p w:rsidR="005E59B6" w:rsidRDefault="005E59B6" w:rsidP="00A93212">
      <w:pPr>
        <w:spacing w:line="276" w:lineRule="auto"/>
        <w:rPr>
          <w:rFonts w:asciiTheme="minorHAnsi" w:hAnsiTheme="minorHAnsi"/>
          <w:sz w:val="22"/>
          <w:szCs w:val="22"/>
        </w:rPr>
      </w:pPr>
    </w:p>
    <w:p w:rsidR="005E59B6" w:rsidRDefault="005E59B6" w:rsidP="00C050B4">
      <w:pPr>
        <w:spacing w:line="276" w:lineRule="auto"/>
        <w:rPr>
          <w:rFonts w:asciiTheme="minorHAnsi" w:hAnsiTheme="minorHAnsi"/>
          <w:sz w:val="22"/>
          <w:szCs w:val="22"/>
        </w:rPr>
      </w:pPr>
      <w:r>
        <w:rPr>
          <w:rFonts w:asciiTheme="minorHAnsi" w:hAnsiTheme="minorHAnsi"/>
          <w:sz w:val="22"/>
          <w:szCs w:val="22"/>
        </w:rPr>
        <w:t>The</w:t>
      </w:r>
      <w:r w:rsidR="00762FE8" w:rsidRPr="00762FE8">
        <w:rPr>
          <w:rFonts w:asciiTheme="minorHAnsi" w:hAnsiTheme="minorHAnsi"/>
          <w:sz w:val="22"/>
          <w:szCs w:val="22"/>
        </w:rPr>
        <w:t xml:space="preserve"> AmTrust LTV survey continues to review the number of actual product options available to first-time buyers with either a 5% or 25% deposit based on the price of an average first-time buyer house</w:t>
      </w:r>
      <w:r>
        <w:rPr>
          <w:rFonts w:asciiTheme="minorHAnsi" w:hAnsiTheme="minorHAnsi"/>
          <w:sz w:val="22"/>
          <w:szCs w:val="22"/>
        </w:rPr>
        <w:t xml:space="preserve"> from UK Finance figures</w:t>
      </w:r>
      <w:r w:rsidR="00762FE8" w:rsidRPr="00762FE8">
        <w:rPr>
          <w:rFonts w:asciiTheme="minorHAnsi" w:hAnsiTheme="minorHAnsi"/>
          <w:sz w:val="22"/>
          <w:szCs w:val="22"/>
        </w:rPr>
        <w:t xml:space="preserve">, the price of an average house as outlined by the </w:t>
      </w:r>
      <w:r w:rsidR="00E727B7">
        <w:rPr>
          <w:rFonts w:asciiTheme="minorHAnsi" w:hAnsiTheme="minorHAnsi"/>
          <w:sz w:val="22"/>
          <w:szCs w:val="22"/>
        </w:rPr>
        <w:t>August</w:t>
      </w:r>
      <w:r w:rsidR="00D64ACC">
        <w:rPr>
          <w:rFonts w:asciiTheme="minorHAnsi" w:hAnsiTheme="minorHAnsi"/>
          <w:sz w:val="22"/>
          <w:szCs w:val="22"/>
        </w:rPr>
        <w:t xml:space="preserve"> 2018</w:t>
      </w:r>
      <w:r w:rsidR="00762FE8" w:rsidRPr="00762FE8">
        <w:rPr>
          <w:rFonts w:asciiTheme="minorHAnsi" w:hAnsiTheme="minorHAnsi"/>
          <w:sz w:val="22"/>
          <w:szCs w:val="22"/>
        </w:rPr>
        <w:t xml:space="preserve"> Halifax House Price Index, and the price of a house at the </w:t>
      </w:r>
      <w:r w:rsidR="00D64ACC">
        <w:rPr>
          <w:rFonts w:asciiTheme="minorHAnsi" w:hAnsiTheme="minorHAnsi"/>
          <w:sz w:val="22"/>
          <w:szCs w:val="22"/>
        </w:rPr>
        <w:t>starting</w:t>
      </w:r>
      <w:r w:rsidR="00762FE8" w:rsidRPr="00762FE8">
        <w:rPr>
          <w:rFonts w:asciiTheme="minorHAnsi" w:hAnsiTheme="minorHAnsi"/>
          <w:sz w:val="22"/>
          <w:szCs w:val="22"/>
        </w:rPr>
        <w:t xml:space="preserve"> tier of stamp duty land tax</w:t>
      </w:r>
      <w:r w:rsidR="00D64ACC">
        <w:rPr>
          <w:rFonts w:asciiTheme="minorHAnsi" w:hAnsiTheme="minorHAnsi"/>
          <w:sz w:val="22"/>
          <w:szCs w:val="22"/>
        </w:rPr>
        <w:t>, £300k</w:t>
      </w:r>
      <w:r w:rsidR="00762FE8" w:rsidRPr="00762FE8">
        <w:rPr>
          <w:rFonts w:asciiTheme="minorHAnsi" w:hAnsiTheme="minorHAnsi"/>
          <w:sz w:val="22"/>
          <w:szCs w:val="22"/>
        </w:rPr>
        <w:t>.</w:t>
      </w:r>
      <w:r w:rsidR="00740BFC">
        <w:rPr>
          <w:rFonts w:asciiTheme="minorHAnsi" w:hAnsiTheme="minorHAnsi"/>
          <w:sz w:val="22"/>
          <w:szCs w:val="22"/>
        </w:rPr>
        <w:t xml:space="preserve"> </w:t>
      </w:r>
      <w:r w:rsidR="00D64ACC">
        <w:rPr>
          <w:rFonts w:asciiTheme="minorHAnsi" w:hAnsiTheme="minorHAnsi"/>
          <w:sz w:val="22"/>
          <w:szCs w:val="22"/>
        </w:rPr>
        <w:t xml:space="preserve">Below this amount first-time buyers do not need to pay any stamp duty. </w:t>
      </w:r>
    </w:p>
    <w:p w:rsidR="005E59B6" w:rsidRDefault="005E59B6" w:rsidP="00C050B4">
      <w:pPr>
        <w:spacing w:line="276" w:lineRule="auto"/>
        <w:rPr>
          <w:rFonts w:asciiTheme="minorHAnsi" w:hAnsiTheme="minorHAnsi"/>
          <w:sz w:val="22"/>
          <w:szCs w:val="22"/>
        </w:rPr>
      </w:pPr>
    </w:p>
    <w:p w:rsidR="00C050B4" w:rsidRPr="00762FE8" w:rsidRDefault="00C050B4" w:rsidP="00C050B4">
      <w:pPr>
        <w:spacing w:line="276" w:lineRule="auto"/>
        <w:rPr>
          <w:rFonts w:asciiTheme="minorHAnsi" w:hAnsiTheme="minorHAnsi"/>
          <w:sz w:val="22"/>
          <w:szCs w:val="22"/>
        </w:rPr>
      </w:pPr>
      <w:r w:rsidRPr="00762FE8">
        <w:rPr>
          <w:rFonts w:asciiTheme="minorHAnsi" w:hAnsiTheme="minorHAnsi"/>
          <w:sz w:val="22"/>
          <w:szCs w:val="22"/>
        </w:rPr>
        <w:t>In order to do this, AmTrust use</w:t>
      </w:r>
      <w:r>
        <w:rPr>
          <w:rFonts w:asciiTheme="minorHAnsi" w:hAnsiTheme="minorHAnsi"/>
          <w:sz w:val="22"/>
          <w:szCs w:val="22"/>
        </w:rPr>
        <w:t>s</w:t>
      </w:r>
      <w:r w:rsidRPr="00762FE8">
        <w:rPr>
          <w:rFonts w:asciiTheme="minorHAnsi" w:hAnsiTheme="minorHAnsi"/>
          <w:sz w:val="22"/>
          <w:szCs w:val="22"/>
        </w:rPr>
        <w:t xml:space="preserve"> one of the online mortgage search engines which include deals available to both mortgage advisers and direct-only. </w:t>
      </w:r>
    </w:p>
    <w:p w:rsidR="00C050B4" w:rsidRPr="00762FE8" w:rsidRDefault="00C050B4" w:rsidP="00C050B4">
      <w:pPr>
        <w:spacing w:line="276" w:lineRule="auto"/>
        <w:rPr>
          <w:rFonts w:asciiTheme="minorHAnsi" w:hAnsiTheme="minorHAnsi"/>
          <w:sz w:val="22"/>
          <w:szCs w:val="22"/>
        </w:rPr>
      </w:pPr>
    </w:p>
    <w:p w:rsidR="00E727B7" w:rsidRDefault="00863158" w:rsidP="00E727B7">
      <w:pPr>
        <w:spacing w:line="276" w:lineRule="auto"/>
        <w:rPr>
          <w:rFonts w:asciiTheme="minorHAnsi" w:hAnsiTheme="minorHAnsi"/>
          <w:sz w:val="22"/>
          <w:szCs w:val="22"/>
        </w:rPr>
      </w:pPr>
      <w:r>
        <w:rPr>
          <w:rFonts w:asciiTheme="minorHAnsi" w:hAnsiTheme="minorHAnsi"/>
          <w:sz w:val="22"/>
          <w:szCs w:val="22"/>
        </w:rPr>
        <w:t>The</w:t>
      </w:r>
      <w:r w:rsidR="001C003E">
        <w:rPr>
          <w:rFonts w:asciiTheme="minorHAnsi" w:hAnsiTheme="minorHAnsi"/>
          <w:sz w:val="22"/>
          <w:szCs w:val="22"/>
        </w:rPr>
        <w:t xml:space="preserve"> latest</w:t>
      </w:r>
      <w:r>
        <w:rPr>
          <w:rFonts w:asciiTheme="minorHAnsi" w:hAnsiTheme="minorHAnsi"/>
          <w:sz w:val="22"/>
          <w:szCs w:val="22"/>
        </w:rPr>
        <w:t xml:space="preserve"> </w:t>
      </w:r>
      <w:r w:rsidR="006B6BE8">
        <w:rPr>
          <w:rFonts w:asciiTheme="minorHAnsi" w:hAnsiTheme="minorHAnsi"/>
          <w:sz w:val="22"/>
          <w:szCs w:val="22"/>
        </w:rPr>
        <w:t>re</w:t>
      </w:r>
      <w:r>
        <w:rPr>
          <w:rFonts w:asciiTheme="minorHAnsi" w:hAnsiTheme="minorHAnsi"/>
          <w:sz w:val="22"/>
          <w:szCs w:val="22"/>
        </w:rPr>
        <w:t xml:space="preserve">search </w:t>
      </w:r>
      <w:r w:rsidR="00E727B7">
        <w:rPr>
          <w:rFonts w:asciiTheme="minorHAnsi" w:hAnsiTheme="minorHAnsi"/>
          <w:sz w:val="22"/>
          <w:szCs w:val="22"/>
        </w:rPr>
        <w:t>shows the first increase in product numbers across all product sectors, both 75% and 95% LTV a</w:t>
      </w:r>
      <w:r w:rsidR="00D5689A">
        <w:rPr>
          <w:rFonts w:asciiTheme="minorHAnsi" w:hAnsiTheme="minorHAnsi"/>
          <w:sz w:val="22"/>
          <w:szCs w:val="22"/>
        </w:rPr>
        <w:t xml:space="preserve">nd two-year and all-term deals, since the establishment of the LTV Tracker. </w:t>
      </w:r>
    </w:p>
    <w:p w:rsidR="005E59B6" w:rsidRDefault="005E59B6" w:rsidP="00762FE8">
      <w:pPr>
        <w:spacing w:line="276" w:lineRule="auto"/>
        <w:rPr>
          <w:rFonts w:asciiTheme="minorHAnsi" w:hAnsiTheme="minorHAnsi"/>
          <w:sz w:val="22"/>
          <w:szCs w:val="22"/>
        </w:rPr>
      </w:pPr>
    </w:p>
    <w:p w:rsidR="00D5689A" w:rsidRDefault="00D5689A" w:rsidP="00762FE8">
      <w:pPr>
        <w:spacing w:line="276" w:lineRule="auto"/>
        <w:rPr>
          <w:rFonts w:asciiTheme="minorHAnsi" w:hAnsiTheme="minorHAnsi"/>
          <w:sz w:val="22"/>
          <w:szCs w:val="22"/>
        </w:rPr>
      </w:pPr>
      <w:r>
        <w:rPr>
          <w:rFonts w:asciiTheme="minorHAnsi" w:hAnsiTheme="minorHAnsi"/>
          <w:sz w:val="22"/>
          <w:szCs w:val="22"/>
        </w:rPr>
        <w:t>Two-year product options for 95% LTV have hit three figures for the first time (for those wishing to purchase an average first-time buyer home and the average</w:t>
      </w:r>
      <w:r w:rsidR="00F50A56">
        <w:rPr>
          <w:rFonts w:asciiTheme="minorHAnsi" w:hAnsiTheme="minorHAnsi"/>
          <w:sz w:val="22"/>
          <w:szCs w:val="22"/>
        </w:rPr>
        <w:t>-priced</w:t>
      </w:r>
      <w:r>
        <w:rPr>
          <w:rFonts w:asciiTheme="minorHAnsi" w:hAnsiTheme="minorHAnsi"/>
          <w:sz w:val="22"/>
          <w:szCs w:val="22"/>
        </w:rPr>
        <w:t xml:space="preserve"> UK house), while all</w:t>
      </w:r>
      <w:r w:rsidR="00F50A56">
        <w:rPr>
          <w:rFonts w:asciiTheme="minorHAnsi" w:hAnsiTheme="minorHAnsi"/>
          <w:sz w:val="22"/>
          <w:szCs w:val="22"/>
        </w:rPr>
        <w:t xml:space="preserve"> </w:t>
      </w:r>
      <w:r>
        <w:rPr>
          <w:rFonts w:asciiTheme="minorHAnsi" w:hAnsiTheme="minorHAnsi"/>
          <w:sz w:val="22"/>
          <w:szCs w:val="22"/>
        </w:rPr>
        <w:t xml:space="preserve">75% LTV product numbers also increased. </w:t>
      </w:r>
    </w:p>
    <w:p w:rsidR="005E59B6" w:rsidRDefault="005E59B6" w:rsidP="00762FE8">
      <w:pPr>
        <w:spacing w:line="276" w:lineRule="auto"/>
        <w:rPr>
          <w:rFonts w:asciiTheme="minorHAnsi" w:hAnsiTheme="minorHAnsi"/>
          <w:sz w:val="22"/>
          <w:szCs w:val="22"/>
        </w:rPr>
      </w:pPr>
    </w:p>
    <w:p w:rsidR="00D5689A" w:rsidRDefault="00D5689A" w:rsidP="00762FE8">
      <w:pPr>
        <w:spacing w:line="276" w:lineRule="auto"/>
        <w:rPr>
          <w:rFonts w:asciiTheme="minorHAnsi" w:hAnsiTheme="minorHAnsi"/>
          <w:sz w:val="22"/>
          <w:szCs w:val="22"/>
        </w:rPr>
      </w:pPr>
      <w:r>
        <w:rPr>
          <w:rFonts w:asciiTheme="minorHAnsi" w:hAnsiTheme="minorHAnsi"/>
          <w:sz w:val="22"/>
          <w:szCs w:val="22"/>
        </w:rPr>
        <w:t xml:space="preserve">AmTrust does however point out that the disparity between those with a 25% and 5% deposit is marked with hundreds, often thousands of products targeted at those </w:t>
      </w:r>
      <w:r w:rsidR="00F50A56">
        <w:rPr>
          <w:rFonts w:asciiTheme="minorHAnsi" w:hAnsiTheme="minorHAnsi"/>
          <w:sz w:val="22"/>
          <w:szCs w:val="22"/>
        </w:rPr>
        <w:t>with larger deposits</w:t>
      </w:r>
      <w:r>
        <w:rPr>
          <w:rFonts w:asciiTheme="minorHAnsi" w:hAnsiTheme="minorHAnsi"/>
          <w:sz w:val="22"/>
          <w:szCs w:val="22"/>
        </w:rPr>
        <w:t xml:space="preserve">. It is however encouraged by the greater number of products available to low-deposit borrowers and the falling average costs for this group. </w:t>
      </w:r>
    </w:p>
    <w:p w:rsidR="00D5689A" w:rsidRDefault="00D5689A" w:rsidP="00762FE8">
      <w:pPr>
        <w:spacing w:line="276" w:lineRule="auto"/>
        <w:rPr>
          <w:rFonts w:asciiTheme="minorHAnsi" w:hAnsiTheme="minorHAnsi"/>
          <w:sz w:val="22"/>
          <w:szCs w:val="22"/>
        </w:rPr>
      </w:pPr>
    </w:p>
    <w:p w:rsidR="005E59B6" w:rsidRDefault="00D5689A" w:rsidP="00762FE8">
      <w:pPr>
        <w:spacing w:line="276" w:lineRule="auto"/>
        <w:rPr>
          <w:rFonts w:asciiTheme="minorHAnsi" w:hAnsiTheme="minorHAnsi"/>
          <w:sz w:val="22"/>
          <w:szCs w:val="22"/>
        </w:rPr>
      </w:pPr>
      <w:r>
        <w:rPr>
          <w:rFonts w:asciiTheme="minorHAnsi" w:hAnsiTheme="minorHAnsi"/>
          <w:sz w:val="22"/>
          <w:szCs w:val="22"/>
        </w:rPr>
        <w:t xml:space="preserve">There is however still concern that the single biggest obstacle facing potential first-timers remains saving for a big enough deposit to secure an affordable mortgage, plus product numbers in the 95% </w:t>
      </w:r>
      <w:r>
        <w:rPr>
          <w:rFonts w:asciiTheme="minorHAnsi" w:hAnsiTheme="minorHAnsi"/>
          <w:sz w:val="22"/>
          <w:szCs w:val="22"/>
        </w:rPr>
        <w:lastRenderedPageBreak/>
        <w:t>LTV range do not necessarily translate into increased levels of mortgage lending to this borrower demographic</w:t>
      </w:r>
      <w:r w:rsidR="005E59B6">
        <w:rPr>
          <w:rFonts w:asciiTheme="minorHAnsi" w:hAnsiTheme="minorHAnsi"/>
          <w:sz w:val="22"/>
          <w:szCs w:val="22"/>
        </w:rPr>
        <w:t>.</w:t>
      </w:r>
    </w:p>
    <w:p w:rsidR="005E59B6" w:rsidRDefault="005E59B6" w:rsidP="00762FE8">
      <w:pPr>
        <w:spacing w:line="276" w:lineRule="auto"/>
        <w:rPr>
          <w:rFonts w:asciiTheme="minorHAnsi" w:hAnsiTheme="minorHAnsi"/>
          <w:sz w:val="22"/>
          <w:szCs w:val="22"/>
        </w:rPr>
      </w:pPr>
    </w:p>
    <w:p w:rsidR="00D5689A" w:rsidRDefault="00D5689A" w:rsidP="00762FE8">
      <w:pPr>
        <w:spacing w:line="276" w:lineRule="auto"/>
        <w:rPr>
          <w:rFonts w:asciiTheme="minorHAnsi" w:hAnsiTheme="minorHAnsi"/>
          <w:sz w:val="22"/>
          <w:szCs w:val="22"/>
        </w:rPr>
      </w:pPr>
      <w:r>
        <w:rPr>
          <w:rFonts w:asciiTheme="minorHAnsi" w:hAnsiTheme="minorHAnsi"/>
          <w:sz w:val="22"/>
          <w:szCs w:val="22"/>
        </w:rPr>
        <w:t>AmTrust</w:t>
      </w:r>
      <w:r w:rsidR="005E59B6">
        <w:rPr>
          <w:rFonts w:asciiTheme="minorHAnsi" w:hAnsiTheme="minorHAnsi"/>
          <w:sz w:val="22"/>
          <w:szCs w:val="22"/>
        </w:rPr>
        <w:t xml:space="preserve"> continues to </w:t>
      </w:r>
      <w:r>
        <w:rPr>
          <w:rFonts w:asciiTheme="minorHAnsi" w:hAnsiTheme="minorHAnsi"/>
          <w:sz w:val="22"/>
          <w:szCs w:val="22"/>
        </w:rPr>
        <w:t xml:space="preserve">urge lenders to use credit-risk mitigants, such as private mortgage insurance, in order to boost their levels of low-deposit mortgages and to </w:t>
      </w:r>
      <w:r w:rsidR="0053050C">
        <w:rPr>
          <w:rFonts w:asciiTheme="minorHAnsi" w:hAnsiTheme="minorHAnsi"/>
          <w:sz w:val="22"/>
          <w:szCs w:val="22"/>
        </w:rPr>
        <w:t xml:space="preserve">continue pushing down the rate differential between high and lower LTV products. </w:t>
      </w:r>
    </w:p>
    <w:p w:rsidR="00D5689A" w:rsidRDefault="00D5689A" w:rsidP="00762FE8">
      <w:pPr>
        <w:spacing w:line="276" w:lineRule="auto"/>
        <w:rPr>
          <w:rFonts w:asciiTheme="minorHAnsi" w:hAnsiTheme="minorHAnsi"/>
          <w:sz w:val="22"/>
          <w:szCs w:val="22"/>
        </w:rPr>
      </w:pPr>
    </w:p>
    <w:p w:rsidR="00762FE8" w:rsidRDefault="00762FE8" w:rsidP="00762FE8">
      <w:pPr>
        <w:spacing w:after="160" w:line="252" w:lineRule="auto"/>
        <w:rPr>
          <w:rFonts w:asciiTheme="minorHAnsi" w:hAnsiTheme="minorHAnsi"/>
          <w:b/>
          <w:sz w:val="20"/>
        </w:rPr>
      </w:pPr>
      <w:r>
        <w:rPr>
          <w:rFonts w:asciiTheme="minorHAnsi" w:hAnsiTheme="minorHAnsi"/>
          <w:b/>
          <w:sz w:val="20"/>
        </w:rPr>
        <w:t>Table 2: Number of products currently available at 75% and 95% LTV at three different house price levels</w:t>
      </w:r>
    </w:p>
    <w:p w:rsidR="00762FE8" w:rsidRDefault="00762FE8" w:rsidP="00762FE8">
      <w:pPr>
        <w:spacing w:line="276" w:lineRule="auto"/>
        <w:jc w:val="center"/>
        <w:rPr>
          <w:rFonts w:asciiTheme="minorHAnsi" w:hAnsiTheme="minorHAnsi"/>
          <w:b/>
          <w:sz w:val="16"/>
          <w:szCs w:val="16"/>
        </w:rPr>
      </w:pPr>
    </w:p>
    <w:tbl>
      <w:tblPr>
        <w:tblW w:w="8330" w:type="dxa"/>
        <w:tblLook w:val="04A0"/>
      </w:tblPr>
      <w:tblGrid>
        <w:gridCol w:w="1697"/>
        <w:gridCol w:w="1530"/>
        <w:gridCol w:w="1701"/>
        <w:gridCol w:w="1701"/>
        <w:gridCol w:w="1701"/>
      </w:tblGrid>
      <w:tr w:rsidR="00762FE8" w:rsidTr="00762FE8">
        <w:trPr>
          <w:trHeight w:val="738"/>
        </w:trPr>
        <w:tc>
          <w:tcPr>
            <w:tcW w:w="1697" w:type="dxa"/>
            <w:tcBorders>
              <w:top w:val="dashed" w:sz="8" w:space="0" w:color="1F4E79"/>
              <w:left w:val="dashed" w:sz="8" w:space="0" w:color="1F4E79"/>
              <w:bottom w:val="dashed" w:sz="8" w:space="0" w:color="1F4E79"/>
              <w:right w:val="dashed" w:sz="8" w:space="0" w:color="1F4E79"/>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 House price</w:t>
            </w:r>
          </w:p>
        </w:tc>
        <w:tc>
          <w:tcPr>
            <w:tcW w:w="1530" w:type="dxa"/>
            <w:tcBorders>
              <w:top w:val="dashed" w:sz="8" w:space="0" w:color="1F4E79"/>
              <w:left w:val="nil"/>
              <w:bottom w:val="dashed" w:sz="8" w:space="0" w:color="1F4E79"/>
              <w:right w:val="nil"/>
            </w:tcBorders>
            <w:shd w:val="clear" w:color="auto" w:fill="BDD6EE"/>
            <w:vAlign w:val="center"/>
            <w:hideMark/>
          </w:tcPr>
          <w:p w:rsidR="00762FE8" w:rsidRPr="00762FE8" w:rsidRDefault="00762FE8">
            <w:pPr>
              <w:spacing w:line="252" w:lineRule="auto"/>
              <w:jc w:val="center"/>
              <w:rPr>
                <w:rFonts w:asciiTheme="minorHAnsi" w:hAnsiTheme="minorHAnsi"/>
                <w:b/>
                <w:bCs/>
                <w:color w:val="000000"/>
                <w:sz w:val="20"/>
                <w:szCs w:val="20"/>
              </w:rPr>
            </w:pPr>
            <w:r w:rsidRPr="00762FE8">
              <w:rPr>
                <w:rFonts w:asciiTheme="minorHAnsi" w:hAnsiTheme="minorHAnsi"/>
                <w:b/>
                <w:bCs/>
                <w:color w:val="000000"/>
                <w:sz w:val="20"/>
                <w:szCs w:val="20"/>
              </w:rPr>
              <w:t>75% LTV – two-year term/all mortgage deals</w:t>
            </w:r>
          </w:p>
        </w:tc>
        <w:tc>
          <w:tcPr>
            <w:tcW w:w="1701" w:type="dxa"/>
            <w:tcBorders>
              <w:top w:val="dashed" w:sz="8" w:space="0" w:color="1F4E79"/>
              <w:left w:val="dashed" w:sz="8" w:space="0" w:color="1F4E79"/>
              <w:bottom w:val="dashed" w:sz="8" w:space="0" w:color="1F4E79"/>
              <w:right w:val="nil"/>
            </w:tcBorders>
            <w:shd w:val="clear" w:color="auto" w:fill="BDD6EE"/>
            <w:vAlign w:val="center"/>
            <w:hideMark/>
          </w:tcPr>
          <w:p w:rsidR="00762FE8" w:rsidRPr="00762FE8" w:rsidRDefault="00762FE8">
            <w:pPr>
              <w:spacing w:line="252" w:lineRule="auto"/>
              <w:jc w:val="center"/>
              <w:rPr>
                <w:rFonts w:asciiTheme="minorHAnsi" w:hAnsiTheme="minorHAnsi"/>
                <w:b/>
                <w:bCs/>
                <w:color w:val="000000"/>
                <w:sz w:val="20"/>
                <w:szCs w:val="20"/>
              </w:rPr>
            </w:pPr>
            <w:r w:rsidRPr="00762FE8">
              <w:rPr>
                <w:rFonts w:asciiTheme="minorHAnsi" w:hAnsiTheme="minorHAnsi"/>
                <w:b/>
                <w:bCs/>
                <w:color w:val="000000"/>
                <w:sz w:val="20"/>
                <w:szCs w:val="20"/>
              </w:rPr>
              <w:t>75% LTV – all  terms/all mortgage deals</w:t>
            </w:r>
          </w:p>
        </w:tc>
        <w:tc>
          <w:tcPr>
            <w:tcW w:w="1701" w:type="dxa"/>
            <w:tcBorders>
              <w:top w:val="dashed" w:sz="8" w:space="0" w:color="1F4E79"/>
              <w:left w:val="dashed" w:sz="8" w:space="0" w:color="1F4E79"/>
              <w:bottom w:val="dashed" w:sz="8" w:space="0" w:color="1F4E79"/>
              <w:right w:val="nil"/>
            </w:tcBorders>
            <w:shd w:val="clear" w:color="auto" w:fill="BDD6EE"/>
            <w:hideMark/>
          </w:tcPr>
          <w:p w:rsidR="00762FE8" w:rsidRPr="00762FE8" w:rsidRDefault="00762FE8">
            <w:pPr>
              <w:spacing w:line="252" w:lineRule="auto"/>
              <w:jc w:val="center"/>
              <w:rPr>
                <w:rFonts w:asciiTheme="minorHAnsi" w:hAnsiTheme="minorHAnsi"/>
                <w:b/>
                <w:bCs/>
                <w:color w:val="000000"/>
                <w:sz w:val="20"/>
                <w:szCs w:val="20"/>
              </w:rPr>
            </w:pPr>
            <w:r w:rsidRPr="00762FE8">
              <w:rPr>
                <w:rFonts w:asciiTheme="minorHAnsi" w:hAnsiTheme="minorHAnsi"/>
                <w:b/>
                <w:bCs/>
                <w:color w:val="000000"/>
                <w:sz w:val="20"/>
                <w:szCs w:val="20"/>
              </w:rPr>
              <w:t>95% LTV – two-year term/all mortgage deals</w:t>
            </w:r>
          </w:p>
        </w:tc>
        <w:tc>
          <w:tcPr>
            <w:tcW w:w="1701" w:type="dxa"/>
            <w:tcBorders>
              <w:top w:val="dashed" w:sz="8" w:space="0" w:color="1F4E79"/>
              <w:left w:val="dashed" w:sz="8" w:space="0" w:color="1F4E79"/>
              <w:bottom w:val="dashed" w:sz="8" w:space="0" w:color="1F4E79"/>
              <w:right w:val="nil"/>
            </w:tcBorders>
            <w:shd w:val="clear" w:color="auto" w:fill="BDD6EE"/>
            <w:hideMark/>
          </w:tcPr>
          <w:p w:rsidR="00762FE8" w:rsidRPr="00762FE8" w:rsidRDefault="00762FE8">
            <w:pPr>
              <w:spacing w:line="252" w:lineRule="auto"/>
              <w:jc w:val="center"/>
              <w:rPr>
                <w:rFonts w:asciiTheme="minorHAnsi" w:hAnsiTheme="minorHAnsi"/>
                <w:b/>
                <w:bCs/>
                <w:color w:val="000000"/>
                <w:sz w:val="20"/>
                <w:szCs w:val="20"/>
              </w:rPr>
            </w:pPr>
            <w:r w:rsidRPr="00762FE8">
              <w:rPr>
                <w:rFonts w:asciiTheme="minorHAnsi" w:hAnsiTheme="minorHAnsi"/>
                <w:b/>
                <w:bCs/>
                <w:color w:val="000000"/>
                <w:sz w:val="20"/>
                <w:szCs w:val="20"/>
              </w:rPr>
              <w:t>95% LTV – all  terms/all mortgage deals</w:t>
            </w:r>
          </w:p>
        </w:tc>
      </w:tr>
      <w:tr w:rsidR="00762FE8" w:rsidTr="00762FE8">
        <w:trPr>
          <w:trHeight w:val="1540"/>
        </w:trPr>
        <w:tc>
          <w:tcPr>
            <w:tcW w:w="1697" w:type="dxa"/>
            <w:tcBorders>
              <w:top w:val="nil"/>
              <w:left w:val="dashed" w:sz="8" w:space="0" w:color="1F4E79"/>
              <w:bottom w:val="dashed" w:sz="8" w:space="0" w:color="1F4E79"/>
              <w:right w:val="dashed" w:sz="8" w:space="0" w:color="1F4E79"/>
            </w:tcBorders>
            <w:shd w:val="clear" w:color="auto" w:fill="BDD6EE"/>
            <w:vAlign w:val="center"/>
            <w:hideMark/>
          </w:tcPr>
          <w:p w:rsidR="00762FE8" w:rsidRPr="00762FE8" w:rsidRDefault="009B41AE">
            <w:pPr>
              <w:spacing w:line="252" w:lineRule="auto"/>
              <w:rPr>
                <w:rFonts w:asciiTheme="minorHAnsi" w:hAnsiTheme="minorHAnsi"/>
                <w:b/>
                <w:bCs/>
                <w:color w:val="000000"/>
                <w:sz w:val="20"/>
                <w:szCs w:val="20"/>
              </w:rPr>
            </w:pPr>
            <w:r>
              <w:rPr>
                <w:rFonts w:asciiTheme="minorHAnsi" w:hAnsiTheme="minorHAnsi"/>
                <w:b/>
                <w:bCs/>
                <w:color w:val="000000"/>
                <w:sz w:val="20"/>
                <w:szCs w:val="20"/>
              </w:rPr>
              <w:t>£</w:t>
            </w:r>
            <w:r w:rsidR="006517C3">
              <w:rPr>
                <w:rFonts w:asciiTheme="minorHAnsi" w:hAnsiTheme="minorHAnsi"/>
                <w:b/>
                <w:bCs/>
                <w:color w:val="000000"/>
                <w:sz w:val="20"/>
                <w:szCs w:val="20"/>
              </w:rPr>
              <w:t>170,588</w:t>
            </w:r>
          </w:p>
          <w:p w:rsidR="00762FE8" w:rsidRPr="00762FE8" w:rsidRDefault="00762FE8" w:rsidP="006517C3">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w:t>
            </w:r>
            <w:r w:rsidR="009B41AE">
              <w:rPr>
                <w:rFonts w:asciiTheme="minorHAnsi" w:hAnsiTheme="minorHAnsi"/>
                <w:b/>
                <w:bCs/>
                <w:color w:val="000000"/>
                <w:sz w:val="20"/>
                <w:szCs w:val="20"/>
              </w:rPr>
              <w:t>UK Finance</w:t>
            </w:r>
            <w:r w:rsidRPr="00762FE8">
              <w:rPr>
                <w:rFonts w:asciiTheme="minorHAnsi" w:hAnsiTheme="minorHAnsi"/>
                <w:b/>
                <w:bCs/>
                <w:color w:val="000000"/>
                <w:sz w:val="20"/>
                <w:szCs w:val="20"/>
              </w:rPr>
              <w:t xml:space="preserve"> – average price of a first-time buyer home </w:t>
            </w:r>
            <w:r w:rsidR="006517C3">
              <w:rPr>
                <w:rFonts w:asciiTheme="minorHAnsi" w:hAnsiTheme="minorHAnsi"/>
                <w:b/>
                <w:bCs/>
                <w:color w:val="000000"/>
                <w:sz w:val="20"/>
                <w:szCs w:val="20"/>
              </w:rPr>
              <w:t>July</w:t>
            </w:r>
            <w:r w:rsidR="00B53C95">
              <w:rPr>
                <w:rFonts w:asciiTheme="minorHAnsi" w:hAnsiTheme="minorHAnsi"/>
                <w:b/>
                <w:bCs/>
                <w:color w:val="000000"/>
                <w:sz w:val="20"/>
                <w:szCs w:val="20"/>
              </w:rPr>
              <w:t xml:space="preserve"> 2018</w:t>
            </w:r>
            <w:r w:rsidRPr="00762FE8">
              <w:rPr>
                <w:rFonts w:asciiTheme="minorHAnsi" w:hAnsiTheme="minorHAnsi"/>
                <w:b/>
                <w:bCs/>
                <w:color w:val="000000"/>
                <w:sz w:val="20"/>
                <w:szCs w:val="20"/>
              </w:rPr>
              <w:t>)</w:t>
            </w:r>
          </w:p>
        </w:tc>
        <w:tc>
          <w:tcPr>
            <w:tcW w:w="1530" w:type="dxa"/>
            <w:tcBorders>
              <w:top w:val="nil"/>
              <w:left w:val="nil"/>
              <w:bottom w:val="dashed" w:sz="8" w:space="0" w:color="1F4E79"/>
              <w:right w:val="dashed" w:sz="8" w:space="0" w:color="1F4E79"/>
            </w:tcBorders>
            <w:vAlign w:val="center"/>
            <w:hideMark/>
          </w:tcPr>
          <w:p w:rsidR="00762FE8" w:rsidRP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744</w:t>
            </w:r>
            <w:r w:rsidR="00762FE8" w:rsidRPr="00762FE8">
              <w:rPr>
                <w:rFonts w:asciiTheme="minorHAnsi" w:hAnsiTheme="minorHAnsi"/>
                <w:color w:val="000000"/>
                <w:sz w:val="20"/>
                <w:szCs w:val="20"/>
              </w:rPr>
              <w:t xml:space="preserve"> products</w:t>
            </w:r>
          </w:p>
          <w:p w:rsidR="00762FE8" w:rsidRPr="00762FE8" w:rsidRDefault="00762FE8" w:rsidP="006517C3">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w:t>
            </w:r>
            <w:r w:rsidR="006517C3">
              <w:rPr>
                <w:rFonts w:asciiTheme="minorHAnsi" w:hAnsiTheme="minorHAnsi"/>
                <w:color w:val="000000"/>
                <w:sz w:val="20"/>
                <w:szCs w:val="20"/>
              </w:rPr>
              <w:t>734</w:t>
            </w:r>
            <w:r w:rsidRPr="00762FE8">
              <w:rPr>
                <w:rFonts w:asciiTheme="minorHAnsi" w:hAnsiTheme="minorHAnsi"/>
                <w:color w:val="000000"/>
                <w:sz w:val="20"/>
                <w:szCs w:val="20"/>
              </w:rPr>
              <w:t>)</w:t>
            </w:r>
          </w:p>
        </w:tc>
        <w:tc>
          <w:tcPr>
            <w:tcW w:w="1701" w:type="dxa"/>
            <w:tcBorders>
              <w:top w:val="nil"/>
              <w:left w:val="nil"/>
              <w:bottom w:val="dashed" w:sz="8" w:space="0" w:color="1F4E79"/>
              <w:right w:val="dashed" w:sz="8" w:space="0" w:color="1F4E79"/>
            </w:tcBorders>
            <w:vAlign w:val="center"/>
            <w:hideMark/>
          </w:tcPr>
          <w:p w:rsidR="00762FE8" w:rsidRPr="00762FE8" w:rsidRDefault="00B53C95">
            <w:pPr>
              <w:spacing w:line="252" w:lineRule="auto"/>
              <w:jc w:val="center"/>
              <w:rPr>
                <w:rFonts w:asciiTheme="minorHAnsi" w:hAnsiTheme="minorHAnsi"/>
                <w:color w:val="000000"/>
                <w:sz w:val="20"/>
                <w:szCs w:val="20"/>
              </w:rPr>
            </w:pPr>
            <w:r>
              <w:rPr>
                <w:rFonts w:asciiTheme="minorHAnsi" w:hAnsiTheme="minorHAnsi"/>
                <w:color w:val="000000"/>
                <w:sz w:val="20"/>
                <w:szCs w:val="20"/>
              </w:rPr>
              <w:t>1,</w:t>
            </w:r>
            <w:r w:rsidR="006517C3">
              <w:rPr>
                <w:rFonts w:asciiTheme="minorHAnsi" w:hAnsiTheme="minorHAnsi"/>
                <w:color w:val="000000"/>
                <w:sz w:val="20"/>
                <w:szCs w:val="20"/>
              </w:rPr>
              <w:t>597</w:t>
            </w:r>
            <w:r w:rsidR="00762FE8" w:rsidRPr="00762FE8">
              <w:rPr>
                <w:rFonts w:asciiTheme="minorHAnsi" w:hAnsiTheme="minorHAnsi"/>
                <w:color w:val="000000"/>
                <w:sz w:val="20"/>
                <w:szCs w:val="20"/>
              </w:rPr>
              <w:t xml:space="preserve"> products</w:t>
            </w:r>
          </w:p>
          <w:p w:rsidR="00762FE8" w:rsidRPr="00762FE8" w:rsidRDefault="00762FE8" w:rsidP="006517C3">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w:t>
            </w:r>
            <w:r w:rsidR="006517C3">
              <w:rPr>
                <w:rFonts w:asciiTheme="minorHAnsi" w:hAnsiTheme="minorHAnsi"/>
                <w:color w:val="000000"/>
                <w:sz w:val="20"/>
                <w:szCs w:val="20"/>
              </w:rPr>
              <w:t>1,551</w:t>
            </w:r>
            <w:r w:rsidRPr="00762FE8">
              <w:rPr>
                <w:rFonts w:asciiTheme="minorHAnsi" w:hAnsiTheme="minorHAnsi"/>
                <w:color w:val="000000"/>
                <w:sz w:val="20"/>
                <w:szCs w:val="20"/>
              </w:rPr>
              <w:t>)</w:t>
            </w:r>
          </w:p>
        </w:tc>
        <w:tc>
          <w:tcPr>
            <w:tcW w:w="1701" w:type="dxa"/>
            <w:tcBorders>
              <w:top w:val="nil"/>
              <w:left w:val="nil"/>
              <w:bottom w:val="dashed" w:sz="8" w:space="0" w:color="1F4E79"/>
              <w:right w:val="dashed" w:sz="8" w:space="0" w:color="1F4E79"/>
            </w:tcBorders>
            <w:vAlign w:val="center"/>
            <w:hideMark/>
          </w:tcPr>
          <w:p w:rsidR="00762FE8" w:rsidRP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105</w:t>
            </w:r>
            <w:r w:rsidR="00762FE8" w:rsidRPr="00762FE8">
              <w:rPr>
                <w:rFonts w:asciiTheme="minorHAnsi" w:hAnsiTheme="minorHAnsi"/>
                <w:color w:val="000000"/>
                <w:sz w:val="20"/>
                <w:szCs w:val="20"/>
              </w:rPr>
              <w:t xml:space="preserve"> product</w:t>
            </w:r>
          </w:p>
          <w:p w:rsidR="00762FE8" w:rsidRPr="00762FE8" w:rsidRDefault="0015761A" w:rsidP="006517C3">
            <w:pPr>
              <w:spacing w:line="252" w:lineRule="auto"/>
              <w:jc w:val="center"/>
              <w:rPr>
                <w:rFonts w:asciiTheme="minorHAnsi" w:hAnsiTheme="minorHAnsi"/>
                <w:color w:val="000000"/>
                <w:sz w:val="20"/>
                <w:szCs w:val="20"/>
              </w:rPr>
            </w:pPr>
            <w:r>
              <w:rPr>
                <w:rFonts w:asciiTheme="minorHAnsi" w:hAnsiTheme="minorHAnsi"/>
                <w:color w:val="000000"/>
                <w:sz w:val="20"/>
                <w:szCs w:val="20"/>
              </w:rPr>
              <w:t>(</w:t>
            </w:r>
            <w:r w:rsidR="006517C3">
              <w:rPr>
                <w:rFonts w:asciiTheme="minorHAnsi" w:hAnsiTheme="minorHAnsi"/>
                <w:color w:val="000000"/>
                <w:sz w:val="20"/>
                <w:szCs w:val="20"/>
              </w:rPr>
              <w:t>97</w:t>
            </w:r>
            <w:r w:rsidR="00762FE8" w:rsidRPr="00762FE8">
              <w:rPr>
                <w:rFonts w:asciiTheme="minorHAnsi" w:hAnsiTheme="minorHAnsi"/>
                <w:color w:val="000000"/>
                <w:sz w:val="20"/>
                <w:szCs w:val="20"/>
              </w:rPr>
              <w:t>)</w:t>
            </w:r>
          </w:p>
        </w:tc>
        <w:tc>
          <w:tcPr>
            <w:tcW w:w="1701" w:type="dxa"/>
            <w:tcBorders>
              <w:top w:val="nil"/>
              <w:left w:val="nil"/>
              <w:bottom w:val="dashed" w:sz="8" w:space="0" w:color="1F4E79"/>
              <w:right w:val="dashed" w:sz="8" w:space="0" w:color="1F4E79"/>
            </w:tcBorders>
            <w:vAlign w:val="center"/>
            <w:hideMark/>
          </w:tcPr>
          <w:p w:rsidR="00762FE8" w:rsidRP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258</w:t>
            </w:r>
            <w:r w:rsidR="00762FE8" w:rsidRPr="00762FE8">
              <w:rPr>
                <w:rFonts w:asciiTheme="minorHAnsi" w:hAnsiTheme="minorHAnsi"/>
                <w:color w:val="000000"/>
                <w:sz w:val="20"/>
                <w:szCs w:val="20"/>
              </w:rPr>
              <w:t xml:space="preserve"> products</w:t>
            </w:r>
          </w:p>
          <w:p w:rsidR="00762FE8" w:rsidRPr="00762FE8" w:rsidRDefault="00762FE8" w:rsidP="006517C3">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w:t>
            </w:r>
            <w:r w:rsidR="006517C3">
              <w:rPr>
                <w:rFonts w:asciiTheme="minorHAnsi" w:hAnsiTheme="minorHAnsi"/>
                <w:color w:val="000000"/>
                <w:sz w:val="20"/>
                <w:szCs w:val="20"/>
              </w:rPr>
              <w:t>238</w:t>
            </w:r>
            <w:r w:rsidRPr="00762FE8">
              <w:rPr>
                <w:rFonts w:asciiTheme="minorHAnsi" w:hAnsiTheme="minorHAnsi"/>
                <w:color w:val="000000"/>
                <w:sz w:val="20"/>
                <w:szCs w:val="20"/>
              </w:rPr>
              <w:t>)</w:t>
            </w:r>
          </w:p>
        </w:tc>
      </w:tr>
      <w:tr w:rsidR="00762FE8" w:rsidTr="00762FE8">
        <w:trPr>
          <w:trHeight w:val="1691"/>
        </w:trPr>
        <w:tc>
          <w:tcPr>
            <w:tcW w:w="1697" w:type="dxa"/>
            <w:tcBorders>
              <w:top w:val="nil"/>
              <w:left w:val="dashed" w:sz="8" w:space="0" w:color="1F4E79"/>
              <w:bottom w:val="dashed" w:sz="8" w:space="0" w:color="1F4E79"/>
              <w:right w:val="dashed" w:sz="8" w:space="0" w:color="1F4E79"/>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w:t>
            </w:r>
            <w:r w:rsidR="000D08E4">
              <w:rPr>
                <w:rFonts w:asciiTheme="minorHAnsi" w:hAnsiTheme="minorHAnsi"/>
                <w:b/>
                <w:bCs/>
                <w:color w:val="000000"/>
                <w:sz w:val="20"/>
                <w:szCs w:val="20"/>
              </w:rPr>
              <w:t>225,995</w:t>
            </w:r>
          </w:p>
          <w:p w:rsidR="00762FE8" w:rsidRPr="00762FE8" w:rsidRDefault="00762FE8" w:rsidP="000D08E4">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 xml:space="preserve">(Halifax House Price Index – average UK property price </w:t>
            </w:r>
            <w:r w:rsidR="000D08E4">
              <w:rPr>
                <w:rFonts w:asciiTheme="minorHAnsi" w:hAnsiTheme="minorHAnsi"/>
                <w:b/>
                <w:bCs/>
                <w:color w:val="000000"/>
                <w:sz w:val="20"/>
                <w:szCs w:val="20"/>
              </w:rPr>
              <w:t>September</w:t>
            </w:r>
            <w:r w:rsidR="006517C3">
              <w:rPr>
                <w:rFonts w:asciiTheme="minorHAnsi" w:hAnsiTheme="minorHAnsi"/>
                <w:b/>
                <w:bCs/>
                <w:color w:val="000000"/>
                <w:sz w:val="20"/>
                <w:szCs w:val="20"/>
              </w:rPr>
              <w:t xml:space="preserve"> 2018</w:t>
            </w:r>
            <w:r w:rsidRPr="00762FE8">
              <w:rPr>
                <w:rFonts w:asciiTheme="minorHAnsi" w:hAnsiTheme="minorHAnsi"/>
                <w:b/>
                <w:bCs/>
                <w:color w:val="000000"/>
                <w:sz w:val="20"/>
                <w:szCs w:val="20"/>
              </w:rPr>
              <w:t>)</w:t>
            </w:r>
          </w:p>
        </w:tc>
        <w:tc>
          <w:tcPr>
            <w:tcW w:w="1530" w:type="dxa"/>
            <w:tcBorders>
              <w:top w:val="nil"/>
              <w:left w:val="nil"/>
              <w:bottom w:val="dashed" w:sz="8" w:space="0" w:color="1F4E79"/>
              <w:right w:val="dashed" w:sz="8" w:space="0" w:color="1F4E79"/>
            </w:tcBorders>
            <w:vAlign w:val="center"/>
            <w:hideMark/>
          </w:tcPr>
          <w:p w:rsidR="00762FE8" w:rsidRPr="00762FE8" w:rsidRDefault="008B2715">
            <w:pPr>
              <w:spacing w:line="252" w:lineRule="auto"/>
              <w:jc w:val="center"/>
              <w:rPr>
                <w:rFonts w:asciiTheme="minorHAnsi" w:hAnsiTheme="minorHAnsi"/>
                <w:color w:val="000000"/>
                <w:sz w:val="20"/>
                <w:szCs w:val="20"/>
              </w:rPr>
            </w:pPr>
            <w:r>
              <w:rPr>
                <w:rFonts w:asciiTheme="minorHAnsi" w:hAnsiTheme="minorHAnsi"/>
                <w:color w:val="000000"/>
                <w:sz w:val="20"/>
                <w:szCs w:val="20"/>
              </w:rPr>
              <w:t>757</w:t>
            </w:r>
            <w:r w:rsidR="00762FE8" w:rsidRPr="00762FE8">
              <w:rPr>
                <w:rFonts w:asciiTheme="minorHAnsi" w:hAnsiTheme="minorHAnsi"/>
                <w:color w:val="000000"/>
                <w:sz w:val="20"/>
                <w:szCs w:val="20"/>
              </w:rPr>
              <w:t xml:space="preserve"> products</w:t>
            </w:r>
          </w:p>
          <w:p w:rsidR="00762FE8" w:rsidRPr="00762FE8" w:rsidRDefault="00762FE8" w:rsidP="006517C3">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w:t>
            </w:r>
            <w:r w:rsidR="006517C3">
              <w:rPr>
                <w:rFonts w:asciiTheme="minorHAnsi" w:hAnsiTheme="minorHAnsi"/>
                <w:color w:val="000000"/>
                <w:sz w:val="20"/>
                <w:szCs w:val="20"/>
              </w:rPr>
              <w:t>734</w:t>
            </w:r>
            <w:r w:rsidRPr="00762FE8">
              <w:rPr>
                <w:rFonts w:asciiTheme="minorHAnsi" w:hAnsiTheme="minorHAnsi"/>
                <w:color w:val="000000"/>
                <w:sz w:val="20"/>
                <w:szCs w:val="20"/>
              </w:rPr>
              <w:t>)</w:t>
            </w:r>
          </w:p>
        </w:tc>
        <w:tc>
          <w:tcPr>
            <w:tcW w:w="1701" w:type="dxa"/>
            <w:tcBorders>
              <w:top w:val="nil"/>
              <w:left w:val="nil"/>
              <w:bottom w:val="dashed" w:sz="8" w:space="0" w:color="1F4E79"/>
              <w:right w:val="dashed" w:sz="8" w:space="0" w:color="1F4E79"/>
            </w:tcBorders>
            <w:vAlign w:val="center"/>
            <w:hideMark/>
          </w:tcPr>
          <w:p w:rsidR="00762FE8" w:rsidRPr="00762FE8" w:rsidRDefault="0015761A">
            <w:pPr>
              <w:spacing w:line="252" w:lineRule="auto"/>
              <w:jc w:val="center"/>
              <w:rPr>
                <w:rFonts w:asciiTheme="minorHAnsi" w:hAnsiTheme="minorHAnsi"/>
                <w:color w:val="000000"/>
                <w:sz w:val="20"/>
                <w:szCs w:val="20"/>
              </w:rPr>
            </w:pPr>
            <w:r>
              <w:rPr>
                <w:rFonts w:asciiTheme="minorHAnsi" w:hAnsiTheme="minorHAnsi"/>
                <w:color w:val="000000"/>
                <w:sz w:val="20"/>
                <w:szCs w:val="20"/>
              </w:rPr>
              <w:t>1,</w:t>
            </w:r>
            <w:r w:rsidR="006517C3">
              <w:rPr>
                <w:rFonts w:asciiTheme="minorHAnsi" w:hAnsiTheme="minorHAnsi"/>
                <w:color w:val="000000"/>
                <w:sz w:val="20"/>
                <w:szCs w:val="20"/>
              </w:rPr>
              <w:t>6</w:t>
            </w:r>
            <w:r w:rsidR="008B2715">
              <w:rPr>
                <w:rFonts w:asciiTheme="minorHAnsi" w:hAnsiTheme="minorHAnsi"/>
                <w:color w:val="000000"/>
                <w:sz w:val="20"/>
                <w:szCs w:val="20"/>
              </w:rPr>
              <w:t>19</w:t>
            </w:r>
            <w:r w:rsidR="00762FE8" w:rsidRPr="00762FE8">
              <w:rPr>
                <w:rFonts w:asciiTheme="minorHAnsi" w:hAnsiTheme="minorHAnsi"/>
                <w:color w:val="000000"/>
                <w:sz w:val="20"/>
                <w:szCs w:val="20"/>
              </w:rPr>
              <w:t xml:space="preserve"> products</w:t>
            </w:r>
          </w:p>
          <w:p w:rsidR="00762FE8" w:rsidRPr="00762FE8" w:rsidRDefault="00762FE8" w:rsidP="006517C3">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w:t>
            </w:r>
            <w:r w:rsidR="00B53C95">
              <w:rPr>
                <w:rFonts w:asciiTheme="minorHAnsi" w:hAnsiTheme="minorHAnsi"/>
                <w:color w:val="000000"/>
                <w:sz w:val="20"/>
                <w:szCs w:val="20"/>
              </w:rPr>
              <w:t>1,</w:t>
            </w:r>
            <w:r w:rsidR="006517C3">
              <w:rPr>
                <w:rFonts w:asciiTheme="minorHAnsi" w:hAnsiTheme="minorHAnsi"/>
                <w:color w:val="000000"/>
                <w:sz w:val="20"/>
                <w:szCs w:val="20"/>
              </w:rPr>
              <w:t>551</w:t>
            </w:r>
            <w:r w:rsidRPr="00762FE8">
              <w:rPr>
                <w:rFonts w:asciiTheme="minorHAnsi" w:hAnsiTheme="minorHAnsi"/>
                <w:color w:val="000000"/>
                <w:sz w:val="20"/>
                <w:szCs w:val="20"/>
              </w:rPr>
              <w:t>)</w:t>
            </w:r>
          </w:p>
        </w:tc>
        <w:tc>
          <w:tcPr>
            <w:tcW w:w="1701" w:type="dxa"/>
            <w:tcBorders>
              <w:top w:val="nil"/>
              <w:left w:val="nil"/>
              <w:bottom w:val="dashed" w:sz="8" w:space="0" w:color="1F4E79"/>
              <w:right w:val="dashed" w:sz="8" w:space="0" w:color="1F4E79"/>
            </w:tcBorders>
            <w:vAlign w:val="center"/>
            <w:hideMark/>
          </w:tcPr>
          <w:p w:rsidR="00762FE8" w:rsidRP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102</w:t>
            </w:r>
            <w:r w:rsidR="009B41AE">
              <w:rPr>
                <w:rFonts w:asciiTheme="minorHAnsi" w:hAnsiTheme="minorHAnsi"/>
                <w:color w:val="000000"/>
                <w:sz w:val="20"/>
                <w:szCs w:val="20"/>
              </w:rPr>
              <w:t xml:space="preserve"> p</w:t>
            </w:r>
            <w:r w:rsidR="00762FE8" w:rsidRPr="00762FE8">
              <w:rPr>
                <w:rFonts w:asciiTheme="minorHAnsi" w:hAnsiTheme="minorHAnsi"/>
                <w:color w:val="000000"/>
                <w:sz w:val="20"/>
                <w:szCs w:val="20"/>
              </w:rPr>
              <w:t>roduct</w:t>
            </w:r>
            <w:r w:rsidR="009B41AE">
              <w:rPr>
                <w:rFonts w:asciiTheme="minorHAnsi" w:hAnsiTheme="minorHAnsi"/>
                <w:color w:val="000000"/>
                <w:sz w:val="20"/>
                <w:szCs w:val="20"/>
              </w:rPr>
              <w:t>s</w:t>
            </w:r>
          </w:p>
          <w:p w:rsidR="00762FE8" w:rsidRPr="00762FE8" w:rsidRDefault="00267484" w:rsidP="006517C3">
            <w:pPr>
              <w:spacing w:line="252" w:lineRule="auto"/>
              <w:jc w:val="center"/>
              <w:rPr>
                <w:rFonts w:asciiTheme="minorHAnsi" w:hAnsiTheme="minorHAnsi"/>
                <w:color w:val="000000"/>
                <w:sz w:val="20"/>
                <w:szCs w:val="20"/>
              </w:rPr>
            </w:pPr>
            <w:r>
              <w:rPr>
                <w:rFonts w:asciiTheme="minorHAnsi" w:hAnsiTheme="minorHAnsi"/>
                <w:color w:val="000000"/>
                <w:sz w:val="20"/>
                <w:szCs w:val="20"/>
              </w:rPr>
              <w:t>(</w:t>
            </w:r>
            <w:r w:rsidR="006517C3">
              <w:rPr>
                <w:rFonts w:asciiTheme="minorHAnsi" w:hAnsiTheme="minorHAnsi"/>
                <w:color w:val="000000"/>
                <w:sz w:val="20"/>
                <w:szCs w:val="20"/>
              </w:rPr>
              <w:t>94</w:t>
            </w:r>
            <w:r w:rsidR="00762FE8" w:rsidRPr="00762FE8">
              <w:rPr>
                <w:rFonts w:asciiTheme="minorHAnsi" w:hAnsiTheme="minorHAnsi"/>
                <w:color w:val="000000"/>
                <w:sz w:val="20"/>
                <w:szCs w:val="20"/>
              </w:rPr>
              <w:t>)</w:t>
            </w:r>
          </w:p>
        </w:tc>
        <w:tc>
          <w:tcPr>
            <w:tcW w:w="1701" w:type="dxa"/>
            <w:tcBorders>
              <w:top w:val="nil"/>
              <w:left w:val="nil"/>
              <w:bottom w:val="dashed" w:sz="8" w:space="0" w:color="1F4E79"/>
              <w:right w:val="dashed" w:sz="8" w:space="0" w:color="1F4E79"/>
            </w:tcBorders>
            <w:vAlign w:val="center"/>
            <w:hideMark/>
          </w:tcPr>
          <w:p w:rsidR="00762FE8" w:rsidRP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25</w:t>
            </w:r>
            <w:r w:rsidR="008B2715">
              <w:rPr>
                <w:rFonts w:asciiTheme="minorHAnsi" w:hAnsiTheme="minorHAnsi"/>
                <w:color w:val="000000"/>
                <w:sz w:val="20"/>
                <w:szCs w:val="20"/>
              </w:rPr>
              <w:t>1</w:t>
            </w:r>
            <w:r w:rsidR="00762FE8" w:rsidRPr="00762FE8">
              <w:rPr>
                <w:rFonts w:asciiTheme="minorHAnsi" w:hAnsiTheme="minorHAnsi"/>
                <w:color w:val="000000"/>
                <w:sz w:val="20"/>
                <w:szCs w:val="20"/>
              </w:rPr>
              <w:t xml:space="preserve"> products</w:t>
            </w:r>
          </w:p>
          <w:p w:rsidR="00762FE8" w:rsidRPr="00762FE8" w:rsidRDefault="00762FE8" w:rsidP="006517C3">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w:t>
            </w:r>
            <w:r w:rsidR="006517C3">
              <w:rPr>
                <w:rFonts w:asciiTheme="minorHAnsi" w:hAnsiTheme="minorHAnsi"/>
                <w:color w:val="000000"/>
                <w:sz w:val="20"/>
                <w:szCs w:val="20"/>
              </w:rPr>
              <w:t>232</w:t>
            </w:r>
            <w:r w:rsidRPr="00762FE8">
              <w:rPr>
                <w:rFonts w:asciiTheme="minorHAnsi" w:hAnsiTheme="minorHAnsi"/>
                <w:color w:val="000000"/>
                <w:sz w:val="20"/>
                <w:szCs w:val="20"/>
              </w:rPr>
              <w:t>)</w:t>
            </w:r>
          </w:p>
        </w:tc>
      </w:tr>
      <w:tr w:rsidR="00762FE8" w:rsidTr="00762FE8">
        <w:trPr>
          <w:trHeight w:val="1547"/>
        </w:trPr>
        <w:tc>
          <w:tcPr>
            <w:tcW w:w="1697" w:type="dxa"/>
            <w:tcBorders>
              <w:top w:val="nil"/>
              <w:left w:val="dashed" w:sz="8" w:space="0" w:color="1F4E79"/>
              <w:bottom w:val="dashed" w:sz="8" w:space="0" w:color="1F4E79"/>
              <w:right w:val="dashed" w:sz="8" w:space="0" w:color="1F4E79"/>
            </w:tcBorders>
            <w:shd w:val="clear" w:color="auto" w:fill="BDD6EE"/>
            <w:vAlign w:val="center"/>
            <w:hideMark/>
          </w:tcPr>
          <w:p w:rsidR="00762FE8" w:rsidRPr="00762FE8" w:rsidRDefault="00762FE8">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w:t>
            </w:r>
            <w:r w:rsidR="0015761A">
              <w:rPr>
                <w:rFonts w:asciiTheme="minorHAnsi" w:hAnsiTheme="minorHAnsi"/>
                <w:b/>
                <w:bCs/>
                <w:color w:val="000000"/>
                <w:sz w:val="20"/>
                <w:szCs w:val="20"/>
              </w:rPr>
              <w:t>300,000</w:t>
            </w:r>
          </w:p>
          <w:p w:rsidR="00762FE8" w:rsidRPr="00762FE8" w:rsidRDefault="00762FE8" w:rsidP="0015761A">
            <w:pPr>
              <w:spacing w:line="252" w:lineRule="auto"/>
              <w:rPr>
                <w:rFonts w:asciiTheme="minorHAnsi" w:hAnsiTheme="minorHAnsi"/>
                <w:b/>
                <w:bCs/>
                <w:color w:val="000000"/>
                <w:sz w:val="20"/>
                <w:szCs w:val="20"/>
              </w:rPr>
            </w:pPr>
            <w:r w:rsidRPr="00762FE8">
              <w:rPr>
                <w:rFonts w:asciiTheme="minorHAnsi" w:hAnsiTheme="minorHAnsi"/>
                <w:b/>
                <w:bCs/>
                <w:color w:val="000000"/>
                <w:sz w:val="20"/>
                <w:szCs w:val="20"/>
              </w:rPr>
              <w:t>(</w:t>
            </w:r>
            <w:r w:rsidR="0015761A">
              <w:rPr>
                <w:rFonts w:asciiTheme="minorHAnsi" w:hAnsiTheme="minorHAnsi"/>
                <w:b/>
                <w:bCs/>
                <w:color w:val="000000"/>
                <w:sz w:val="20"/>
                <w:szCs w:val="20"/>
              </w:rPr>
              <w:t>S</w:t>
            </w:r>
            <w:r w:rsidRPr="00762FE8">
              <w:rPr>
                <w:rFonts w:asciiTheme="minorHAnsi" w:hAnsiTheme="minorHAnsi"/>
                <w:b/>
                <w:bCs/>
                <w:color w:val="000000"/>
                <w:sz w:val="20"/>
                <w:szCs w:val="20"/>
              </w:rPr>
              <w:t>tamp Duty Land Tax tier</w:t>
            </w:r>
            <w:r w:rsidR="0015761A">
              <w:rPr>
                <w:rFonts w:asciiTheme="minorHAnsi" w:hAnsiTheme="minorHAnsi"/>
                <w:b/>
                <w:bCs/>
                <w:color w:val="000000"/>
                <w:sz w:val="20"/>
                <w:szCs w:val="20"/>
              </w:rPr>
              <w:t xml:space="preserve"> – FTBs pay SDLT over this amount</w:t>
            </w:r>
            <w:r w:rsidRPr="00762FE8">
              <w:rPr>
                <w:rFonts w:asciiTheme="minorHAnsi" w:hAnsiTheme="minorHAnsi"/>
                <w:b/>
                <w:bCs/>
                <w:color w:val="000000"/>
                <w:sz w:val="20"/>
                <w:szCs w:val="20"/>
              </w:rPr>
              <w:t>)</w:t>
            </w:r>
          </w:p>
        </w:tc>
        <w:tc>
          <w:tcPr>
            <w:tcW w:w="1530" w:type="dxa"/>
            <w:tcBorders>
              <w:top w:val="nil"/>
              <w:left w:val="nil"/>
              <w:bottom w:val="dashed" w:sz="8" w:space="0" w:color="1F4E79"/>
              <w:right w:val="dashed" w:sz="8" w:space="0" w:color="1F4E79"/>
            </w:tcBorders>
            <w:vAlign w:val="center"/>
            <w:hideMark/>
          </w:tcPr>
          <w:p w:rsidR="00B53C95" w:rsidRDefault="00B53C95">
            <w:pPr>
              <w:spacing w:line="252" w:lineRule="auto"/>
              <w:jc w:val="center"/>
              <w:rPr>
                <w:rFonts w:asciiTheme="minorHAnsi" w:hAnsiTheme="minorHAnsi"/>
                <w:color w:val="000000"/>
                <w:sz w:val="20"/>
                <w:szCs w:val="20"/>
              </w:rPr>
            </w:pPr>
          </w:p>
          <w:p w:rsidR="00B53C95"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750</w:t>
            </w:r>
            <w:r w:rsidR="00762FE8" w:rsidRPr="00762FE8">
              <w:rPr>
                <w:rFonts w:asciiTheme="minorHAnsi" w:hAnsiTheme="minorHAnsi"/>
                <w:color w:val="000000"/>
                <w:sz w:val="20"/>
                <w:szCs w:val="20"/>
              </w:rPr>
              <w:t xml:space="preserve"> products</w:t>
            </w:r>
          </w:p>
          <w:p w:rsidR="00762FE8" w:rsidRPr="00762FE8" w:rsidRDefault="00B53C95">
            <w:pPr>
              <w:spacing w:line="252" w:lineRule="auto"/>
              <w:jc w:val="center"/>
              <w:rPr>
                <w:rFonts w:asciiTheme="minorHAnsi" w:hAnsiTheme="minorHAnsi"/>
                <w:color w:val="000000"/>
                <w:sz w:val="20"/>
                <w:szCs w:val="20"/>
              </w:rPr>
            </w:pPr>
            <w:r>
              <w:rPr>
                <w:rFonts w:asciiTheme="minorHAnsi" w:hAnsiTheme="minorHAnsi"/>
                <w:color w:val="000000"/>
                <w:sz w:val="20"/>
                <w:szCs w:val="20"/>
              </w:rPr>
              <w:t xml:space="preserve"> (</w:t>
            </w:r>
            <w:r w:rsidR="006517C3">
              <w:rPr>
                <w:rFonts w:asciiTheme="minorHAnsi" w:hAnsiTheme="minorHAnsi"/>
                <w:color w:val="000000"/>
                <w:sz w:val="20"/>
                <w:szCs w:val="20"/>
              </w:rPr>
              <w:t>732</w:t>
            </w:r>
            <w:r>
              <w:rPr>
                <w:rFonts w:asciiTheme="minorHAnsi" w:hAnsiTheme="minorHAnsi"/>
                <w:color w:val="000000"/>
                <w:sz w:val="20"/>
                <w:szCs w:val="20"/>
              </w:rPr>
              <w:t>)</w:t>
            </w:r>
          </w:p>
          <w:p w:rsidR="00762FE8" w:rsidRPr="00762FE8" w:rsidRDefault="00762FE8" w:rsidP="00267484">
            <w:pPr>
              <w:spacing w:line="252" w:lineRule="auto"/>
              <w:jc w:val="center"/>
              <w:rPr>
                <w:rFonts w:asciiTheme="minorHAnsi" w:hAnsiTheme="minorHAnsi"/>
                <w:color w:val="000000"/>
                <w:sz w:val="20"/>
                <w:szCs w:val="20"/>
              </w:rPr>
            </w:pPr>
          </w:p>
        </w:tc>
        <w:tc>
          <w:tcPr>
            <w:tcW w:w="1701" w:type="dxa"/>
            <w:tcBorders>
              <w:top w:val="nil"/>
              <w:left w:val="nil"/>
              <w:bottom w:val="dashed" w:sz="8" w:space="0" w:color="1F4E79"/>
              <w:right w:val="dashed" w:sz="8" w:space="0" w:color="1F4E79"/>
            </w:tcBorders>
            <w:vAlign w:val="center"/>
            <w:hideMark/>
          </w:tcPr>
          <w:p w:rsidR="00B53C95" w:rsidRDefault="00B53C95">
            <w:pPr>
              <w:spacing w:line="252" w:lineRule="auto"/>
              <w:jc w:val="center"/>
              <w:rPr>
                <w:rFonts w:asciiTheme="minorHAnsi" w:hAnsiTheme="minorHAnsi"/>
                <w:color w:val="000000"/>
                <w:sz w:val="20"/>
                <w:szCs w:val="20"/>
              </w:rPr>
            </w:pPr>
          </w:p>
          <w:p w:rsidR="00762FE8" w:rsidRDefault="00762FE8">
            <w:pPr>
              <w:spacing w:line="252" w:lineRule="auto"/>
              <w:jc w:val="center"/>
              <w:rPr>
                <w:rFonts w:asciiTheme="minorHAnsi" w:hAnsiTheme="minorHAnsi"/>
                <w:color w:val="000000"/>
                <w:sz w:val="20"/>
                <w:szCs w:val="20"/>
              </w:rPr>
            </w:pPr>
            <w:r w:rsidRPr="00762FE8">
              <w:rPr>
                <w:rFonts w:asciiTheme="minorHAnsi" w:hAnsiTheme="minorHAnsi"/>
                <w:color w:val="000000"/>
                <w:sz w:val="20"/>
                <w:szCs w:val="20"/>
              </w:rPr>
              <w:t>1</w:t>
            </w:r>
            <w:r w:rsidR="009B41AE">
              <w:rPr>
                <w:rFonts w:asciiTheme="minorHAnsi" w:hAnsiTheme="minorHAnsi"/>
                <w:color w:val="000000"/>
                <w:sz w:val="20"/>
                <w:szCs w:val="20"/>
              </w:rPr>
              <w:t>,</w:t>
            </w:r>
            <w:r w:rsidR="006517C3">
              <w:rPr>
                <w:rFonts w:asciiTheme="minorHAnsi" w:hAnsiTheme="minorHAnsi"/>
                <w:color w:val="000000"/>
                <w:sz w:val="20"/>
                <w:szCs w:val="20"/>
              </w:rPr>
              <w:t>619</w:t>
            </w:r>
            <w:r w:rsidRPr="00762FE8">
              <w:rPr>
                <w:rFonts w:asciiTheme="minorHAnsi" w:hAnsiTheme="minorHAnsi"/>
                <w:color w:val="000000"/>
                <w:sz w:val="20"/>
                <w:szCs w:val="20"/>
              </w:rPr>
              <w:t xml:space="preserve"> products</w:t>
            </w:r>
          </w:p>
          <w:p w:rsidR="00B53C95" w:rsidRPr="00762FE8" w:rsidRDefault="00B53C95">
            <w:pPr>
              <w:spacing w:line="252" w:lineRule="auto"/>
              <w:jc w:val="center"/>
              <w:rPr>
                <w:rFonts w:asciiTheme="minorHAnsi" w:hAnsiTheme="minorHAnsi"/>
                <w:color w:val="000000"/>
                <w:sz w:val="20"/>
                <w:szCs w:val="20"/>
              </w:rPr>
            </w:pPr>
            <w:r>
              <w:rPr>
                <w:rFonts w:asciiTheme="minorHAnsi" w:hAnsiTheme="minorHAnsi"/>
                <w:color w:val="000000"/>
                <w:sz w:val="20"/>
                <w:szCs w:val="20"/>
              </w:rPr>
              <w:t>(1,</w:t>
            </w:r>
            <w:r w:rsidR="006517C3">
              <w:rPr>
                <w:rFonts w:asciiTheme="minorHAnsi" w:hAnsiTheme="minorHAnsi"/>
                <w:color w:val="000000"/>
                <w:sz w:val="20"/>
                <w:szCs w:val="20"/>
              </w:rPr>
              <w:t>548</w:t>
            </w:r>
            <w:r>
              <w:rPr>
                <w:rFonts w:asciiTheme="minorHAnsi" w:hAnsiTheme="minorHAnsi"/>
                <w:color w:val="000000"/>
                <w:sz w:val="20"/>
                <w:szCs w:val="20"/>
              </w:rPr>
              <w:t>)</w:t>
            </w:r>
          </w:p>
          <w:p w:rsidR="00762FE8" w:rsidRPr="00762FE8" w:rsidRDefault="00762FE8" w:rsidP="00F6469F">
            <w:pPr>
              <w:spacing w:line="252" w:lineRule="auto"/>
              <w:jc w:val="center"/>
              <w:rPr>
                <w:rFonts w:asciiTheme="minorHAnsi" w:hAnsiTheme="minorHAnsi"/>
                <w:color w:val="000000"/>
                <w:sz w:val="20"/>
                <w:szCs w:val="20"/>
              </w:rPr>
            </w:pPr>
          </w:p>
        </w:tc>
        <w:tc>
          <w:tcPr>
            <w:tcW w:w="1701" w:type="dxa"/>
            <w:tcBorders>
              <w:top w:val="nil"/>
              <w:left w:val="nil"/>
              <w:bottom w:val="dashed" w:sz="8" w:space="0" w:color="1F4E79"/>
              <w:right w:val="dashed" w:sz="8" w:space="0" w:color="1F4E79"/>
            </w:tcBorders>
            <w:vAlign w:val="center"/>
            <w:hideMark/>
          </w:tcPr>
          <w:p w:rsidR="00B53C95" w:rsidRDefault="00B53C95">
            <w:pPr>
              <w:spacing w:line="252" w:lineRule="auto"/>
              <w:jc w:val="center"/>
              <w:rPr>
                <w:rFonts w:asciiTheme="minorHAnsi" w:hAnsiTheme="minorHAnsi"/>
                <w:color w:val="000000"/>
                <w:sz w:val="20"/>
                <w:szCs w:val="20"/>
              </w:rPr>
            </w:pPr>
          </w:p>
          <w:p w:rsid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92</w:t>
            </w:r>
            <w:r w:rsidR="00B53C95">
              <w:rPr>
                <w:rFonts w:asciiTheme="minorHAnsi" w:hAnsiTheme="minorHAnsi"/>
                <w:color w:val="000000"/>
                <w:sz w:val="20"/>
                <w:szCs w:val="20"/>
              </w:rPr>
              <w:t xml:space="preserve"> </w:t>
            </w:r>
            <w:r w:rsidR="00762FE8" w:rsidRPr="00762FE8">
              <w:rPr>
                <w:rFonts w:asciiTheme="minorHAnsi" w:hAnsiTheme="minorHAnsi"/>
                <w:color w:val="000000"/>
                <w:sz w:val="20"/>
                <w:szCs w:val="20"/>
              </w:rPr>
              <w:t>products</w:t>
            </w:r>
          </w:p>
          <w:p w:rsidR="00B53C95" w:rsidRPr="00762FE8" w:rsidRDefault="00B53C95">
            <w:pPr>
              <w:spacing w:line="252" w:lineRule="auto"/>
              <w:jc w:val="center"/>
              <w:rPr>
                <w:rFonts w:asciiTheme="minorHAnsi" w:hAnsiTheme="minorHAnsi"/>
                <w:color w:val="000000"/>
                <w:sz w:val="20"/>
                <w:szCs w:val="20"/>
              </w:rPr>
            </w:pPr>
            <w:r>
              <w:rPr>
                <w:rFonts w:asciiTheme="minorHAnsi" w:hAnsiTheme="minorHAnsi"/>
                <w:color w:val="000000"/>
                <w:sz w:val="20"/>
                <w:szCs w:val="20"/>
              </w:rPr>
              <w:t>(</w:t>
            </w:r>
            <w:r w:rsidR="006517C3">
              <w:rPr>
                <w:rFonts w:asciiTheme="minorHAnsi" w:hAnsiTheme="minorHAnsi"/>
                <w:color w:val="000000"/>
                <w:sz w:val="20"/>
                <w:szCs w:val="20"/>
              </w:rPr>
              <w:t>79</w:t>
            </w:r>
            <w:r>
              <w:rPr>
                <w:rFonts w:asciiTheme="minorHAnsi" w:hAnsiTheme="minorHAnsi"/>
                <w:color w:val="000000"/>
                <w:sz w:val="20"/>
                <w:szCs w:val="20"/>
              </w:rPr>
              <w:t>)</w:t>
            </w:r>
          </w:p>
          <w:p w:rsidR="00762FE8" w:rsidRPr="00762FE8" w:rsidRDefault="00762FE8" w:rsidP="0015761A">
            <w:pPr>
              <w:spacing w:line="252" w:lineRule="auto"/>
              <w:jc w:val="center"/>
              <w:rPr>
                <w:rFonts w:asciiTheme="minorHAnsi" w:hAnsiTheme="minorHAnsi"/>
                <w:color w:val="000000"/>
                <w:sz w:val="20"/>
                <w:szCs w:val="20"/>
              </w:rPr>
            </w:pPr>
          </w:p>
        </w:tc>
        <w:tc>
          <w:tcPr>
            <w:tcW w:w="1701" w:type="dxa"/>
            <w:tcBorders>
              <w:top w:val="nil"/>
              <w:left w:val="nil"/>
              <w:bottom w:val="dashed" w:sz="8" w:space="0" w:color="1F4E79"/>
              <w:right w:val="dashed" w:sz="8" w:space="0" w:color="1F4E79"/>
            </w:tcBorders>
            <w:vAlign w:val="center"/>
            <w:hideMark/>
          </w:tcPr>
          <w:p w:rsidR="00B53C95" w:rsidRDefault="00B53C95">
            <w:pPr>
              <w:spacing w:line="252" w:lineRule="auto"/>
              <w:jc w:val="center"/>
              <w:rPr>
                <w:rFonts w:asciiTheme="minorHAnsi" w:hAnsiTheme="minorHAnsi"/>
                <w:color w:val="000000"/>
                <w:sz w:val="20"/>
                <w:szCs w:val="20"/>
              </w:rPr>
            </w:pPr>
          </w:p>
          <w:p w:rsidR="00762FE8" w:rsidRDefault="006517C3">
            <w:pPr>
              <w:spacing w:line="252" w:lineRule="auto"/>
              <w:jc w:val="center"/>
              <w:rPr>
                <w:rFonts w:asciiTheme="minorHAnsi" w:hAnsiTheme="minorHAnsi"/>
                <w:color w:val="000000"/>
                <w:sz w:val="20"/>
                <w:szCs w:val="20"/>
              </w:rPr>
            </w:pPr>
            <w:r>
              <w:rPr>
                <w:rFonts w:asciiTheme="minorHAnsi" w:hAnsiTheme="minorHAnsi"/>
                <w:color w:val="000000"/>
                <w:sz w:val="20"/>
                <w:szCs w:val="20"/>
              </w:rPr>
              <w:t>229</w:t>
            </w:r>
            <w:r w:rsidR="00762FE8" w:rsidRPr="00762FE8">
              <w:rPr>
                <w:rFonts w:asciiTheme="minorHAnsi" w:hAnsiTheme="minorHAnsi"/>
                <w:color w:val="000000"/>
                <w:sz w:val="20"/>
                <w:szCs w:val="20"/>
              </w:rPr>
              <w:t xml:space="preserve"> products</w:t>
            </w:r>
          </w:p>
          <w:p w:rsidR="00B53C95" w:rsidRPr="00762FE8" w:rsidRDefault="00B53C95">
            <w:pPr>
              <w:spacing w:line="252" w:lineRule="auto"/>
              <w:jc w:val="center"/>
              <w:rPr>
                <w:rFonts w:asciiTheme="minorHAnsi" w:hAnsiTheme="minorHAnsi"/>
                <w:color w:val="000000"/>
                <w:sz w:val="20"/>
                <w:szCs w:val="20"/>
              </w:rPr>
            </w:pPr>
            <w:r>
              <w:rPr>
                <w:rFonts w:asciiTheme="minorHAnsi" w:hAnsiTheme="minorHAnsi"/>
                <w:color w:val="000000"/>
                <w:sz w:val="20"/>
                <w:szCs w:val="20"/>
              </w:rPr>
              <w:t>(</w:t>
            </w:r>
            <w:r w:rsidR="006517C3">
              <w:rPr>
                <w:rFonts w:asciiTheme="minorHAnsi" w:hAnsiTheme="minorHAnsi"/>
                <w:color w:val="000000"/>
                <w:sz w:val="20"/>
                <w:szCs w:val="20"/>
              </w:rPr>
              <w:t>204</w:t>
            </w:r>
            <w:r>
              <w:rPr>
                <w:rFonts w:asciiTheme="minorHAnsi" w:hAnsiTheme="minorHAnsi"/>
                <w:color w:val="000000"/>
                <w:sz w:val="20"/>
                <w:szCs w:val="20"/>
              </w:rPr>
              <w:t>)</w:t>
            </w:r>
          </w:p>
          <w:p w:rsidR="00762FE8" w:rsidRPr="00762FE8" w:rsidRDefault="00762FE8" w:rsidP="0015761A">
            <w:pPr>
              <w:spacing w:line="252" w:lineRule="auto"/>
              <w:jc w:val="center"/>
              <w:rPr>
                <w:rFonts w:asciiTheme="minorHAnsi" w:hAnsiTheme="minorHAnsi"/>
                <w:color w:val="000000"/>
                <w:sz w:val="20"/>
                <w:szCs w:val="20"/>
              </w:rPr>
            </w:pPr>
          </w:p>
        </w:tc>
      </w:tr>
    </w:tbl>
    <w:p w:rsidR="00762FE8" w:rsidRDefault="00762FE8" w:rsidP="00762FE8">
      <w:pPr>
        <w:jc w:val="both"/>
      </w:pPr>
    </w:p>
    <w:p w:rsidR="00762FE8" w:rsidRDefault="00762FE8" w:rsidP="00762FE8">
      <w:pPr>
        <w:rPr>
          <w:rFonts w:asciiTheme="minorHAnsi" w:eastAsiaTheme="minorHAnsi" w:hAnsiTheme="minorHAnsi"/>
          <w:i/>
          <w:sz w:val="20"/>
          <w:szCs w:val="22"/>
          <w:lang w:val="en-GB" w:eastAsia="en-GB"/>
        </w:rPr>
      </w:pPr>
      <w:r>
        <w:rPr>
          <w:rFonts w:asciiTheme="minorHAnsi" w:hAnsiTheme="minorHAnsi"/>
          <w:i/>
          <w:sz w:val="20"/>
        </w:rPr>
        <w:t xml:space="preserve">Source: AmTrust Mortgage &amp; Credit, Money Saving Expert, </w:t>
      </w:r>
      <w:r w:rsidR="001F20D4">
        <w:rPr>
          <w:rFonts w:asciiTheme="minorHAnsi" w:hAnsiTheme="minorHAnsi"/>
          <w:i/>
          <w:sz w:val="20"/>
        </w:rPr>
        <w:t>UK Finance</w:t>
      </w:r>
      <w:r>
        <w:rPr>
          <w:rFonts w:asciiTheme="minorHAnsi" w:hAnsiTheme="minorHAnsi"/>
          <w:i/>
          <w:sz w:val="20"/>
        </w:rPr>
        <w:t>, Bank of England, Halifax</w:t>
      </w:r>
    </w:p>
    <w:p w:rsidR="00762FE8" w:rsidRDefault="00762FE8" w:rsidP="00762FE8">
      <w:pPr>
        <w:rPr>
          <w:rFonts w:asciiTheme="minorHAnsi" w:hAnsiTheme="minorHAnsi"/>
          <w:b/>
          <w:color w:val="FF0000"/>
          <w:sz w:val="22"/>
        </w:rPr>
      </w:pPr>
      <w:r>
        <w:rPr>
          <w:rFonts w:asciiTheme="minorHAnsi" w:hAnsiTheme="minorHAnsi"/>
          <w:i/>
          <w:sz w:val="20"/>
        </w:rPr>
        <w:t>Figures in brackets – product numbers Q</w:t>
      </w:r>
      <w:r w:rsidR="006517C3">
        <w:rPr>
          <w:rFonts w:asciiTheme="minorHAnsi" w:hAnsiTheme="minorHAnsi"/>
          <w:i/>
          <w:sz w:val="20"/>
        </w:rPr>
        <w:t>2</w:t>
      </w:r>
      <w:r w:rsidR="0015761A">
        <w:rPr>
          <w:rFonts w:asciiTheme="minorHAnsi" w:hAnsiTheme="minorHAnsi"/>
          <w:i/>
          <w:sz w:val="20"/>
        </w:rPr>
        <w:t xml:space="preserve"> 201</w:t>
      </w:r>
      <w:r w:rsidR="00B53C95">
        <w:rPr>
          <w:rFonts w:asciiTheme="minorHAnsi" w:hAnsiTheme="minorHAnsi"/>
          <w:i/>
          <w:sz w:val="20"/>
        </w:rPr>
        <w:t>8</w:t>
      </w:r>
      <w:r>
        <w:rPr>
          <w:rFonts w:asciiTheme="minorHAnsi" w:hAnsiTheme="minorHAnsi"/>
          <w:i/>
          <w:sz w:val="20"/>
        </w:rPr>
        <w:t xml:space="preserve"> LTV Tracker results.</w:t>
      </w:r>
    </w:p>
    <w:p w:rsidR="00762FE8" w:rsidRDefault="00762FE8" w:rsidP="00762FE8">
      <w:pPr>
        <w:spacing w:line="276" w:lineRule="auto"/>
        <w:rPr>
          <w:rFonts w:asciiTheme="minorHAnsi" w:hAnsiTheme="minorHAnsi"/>
          <w:sz w:val="16"/>
          <w:szCs w:val="16"/>
        </w:rPr>
      </w:pPr>
    </w:p>
    <w:p w:rsidR="00762FE8" w:rsidRPr="00762FE8" w:rsidRDefault="00762FE8" w:rsidP="00762FE8">
      <w:pPr>
        <w:spacing w:line="276" w:lineRule="auto"/>
        <w:rPr>
          <w:rFonts w:asciiTheme="minorHAnsi" w:hAnsiTheme="minorHAnsi"/>
          <w:sz w:val="22"/>
          <w:szCs w:val="22"/>
        </w:rPr>
      </w:pPr>
      <w:r w:rsidRPr="00762FE8">
        <w:rPr>
          <w:rFonts w:asciiTheme="minorHAnsi" w:hAnsiTheme="minorHAnsi"/>
          <w:b/>
          <w:sz w:val="22"/>
          <w:szCs w:val="22"/>
        </w:rPr>
        <w:t>Pad Bamford, Business Development Director at AmTrust Mortgage &amp; Credit, commented</w:t>
      </w:r>
      <w:r w:rsidRPr="00762FE8">
        <w:rPr>
          <w:rFonts w:asciiTheme="minorHAnsi" w:hAnsiTheme="minorHAnsi"/>
          <w:sz w:val="22"/>
          <w:szCs w:val="22"/>
        </w:rPr>
        <w:t>:</w:t>
      </w:r>
    </w:p>
    <w:p w:rsidR="00762FE8" w:rsidRPr="00762FE8" w:rsidRDefault="00762FE8" w:rsidP="00762FE8">
      <w:pPr>
        <w:spacing w:line="276" w:lineRule="auto"/>
        <w:rPr>
          <w:rFonts w:asciiTheme="minorHAnsi" w:hAnsiTheme="minorHAnsi"/>
          <w:sz w:val="22"/>
          <w:szCs w:val="22"/>
        </w:rPr>
      </w:pPr>
    </w:p>
    <w:p w:rsidR="00757D44" w:rsidRDefault="00762FE8" w:rsidP="0053050C">
      <w:pPr>
        <w:spacing w:line="276" w:lineRule="auto"/>
        <w:rPr>
          <w:rFonts w:asciiTheme="minorHAnsi" w:hAnsiTheme="minorHAnsi"/>
          <w:sz w:val="22"/>
          <w:szCs w:val="22"/>
        </w:rPr>
      </w:pPr>
      <w:r w:rsidRPr="00762FE8">
        <w:rPr>
          <w:rFonts w:asciiTheme="minorHAnsi" w:hAnsiTheme="minorHAnsi"/>
          <w:sz w:val="22"/>
          <w:szCs w:val="22"/>
        </w:rPr>
        <w:t>“</w:t>
      </w:r>
      <w:r w:rsidR="00F50A56">
        <w:rPr>
          <w:rFonts w:asciiTheme="minorHAnsi" w:hAnsiTheme="minorHAnsi"/>
          <w:sz w:val="22"/>
          <w:szCs w:val="22"/>
        </w:rPr>
        <w:t>As we move into, what is traditionally, a very competitive time for the mortgage market there is a lot to be encouraged about in this quarter’s LTV Tracker. Lower average rates translate into lower monthly and annual payments for those borrowers with a 5% deposit, plus the differential between those with a bigger deposit has been narrowed, and we have seen a continued increase in the number of products available to high LTV borrowers.</w:t>
      </w:r>
    </w:p>
    <w:p w:rsidR="00F50A56" w:rsidRDefault="00F50A56" w:rsidP="0053050C">
      <w:pPr>
        <w:spacing w:line="276" w:lineRule="auto"/>
        <w:rPr>
          <w:rFonts w:asciiTheme="minorHAnsi" w:hAnsiTheme="minorHAnsi"/>
          <w:sz w:val="22"/>
          <w:szCs w:val="22"/>
        </w:rPr>
      </w:pPr>
    </w:p>
    <w:p w:rsidR="00F50A56" w:rsidRDefault="00F50A56" w:rsidP="0053050C">
      <w:pPr>
        <w:spacing w:line="276" w:lineRule="auto"/>
        <w:rPr>
          <w:rFonts w:asciiTheme="minorHAnsi" w:hAnsiTheme="minorHAnsi"/>
          <w:sz w:val="22"/>
          <w:szCs w:val="22"/>
        </w:rPr>
      </w:pPr>
      <w:r>
        <w:rPr>
          <w:rFonts w:asciiTheme="minorHAnsi" w:hAnsiTheme="minorHAnsi"/>
          <w:sz w:val="22"/>
          <w:szCs w:val="22"/>
        </w:rPr>
        <w:t xml:space="preserve">“Such positive movement is, of course, to be welcomed however we are still concerned on a number of fronts. Saving for a deposit remains the biggest barrier to overcome and we are still at a point where many potential first-timers can only get on the housing ladder with the support of the Bank of Mum and Dad. </w:t>
      </w:r>
      <w:r w:rsidR="00F93EC7">
        <w:rPr>
          <w:rFonts w:asciiTheme="minorHAnsi" w:hAnsiTheme="minorHAnsi"/>
          <w:sz w:val="22"/>
          <w:szCs w:val="22"/>
        </w:rPr>
        <w:t xml:space="preserve">While product numbers have moved upwards for high LTV borrowers, compared to those available at 75% LTV, they are but a drop in the ocean. </w:t>
      </w:r>
    </w:p>
    <w:p w:rsidR="00F93EC7" w:rsidRDefault="00F93EC7" w:rsidP="0053050C">
      <w:pPr>
        <w:spacing w:line="276" w:lineRule="auto"/>
        <w:rPr>
          <w:rFonts w:asciiTheme="minorHAnsi" w:hAnsiTheme="minorHAnsi"/>
          <w:sz w:val="22"/>
          <w:szCs w:val="22"/>
        </w:rPr>
      </w:pPr>
    </w:p>
    <w:p w:rsidR="00F93EC7" w:rsidRDefault="00F93EC7" w:rsidP="0053050C">
      <w:pPr>
        <w:spacing w:line="276" w:lineRule="auto"/>
        <w:rPr>
          <w:rFonts w:asciiTheme="minorHAnsi" w:hAnsiTheme="minorHAnsi"/>
          <w:sz w:val="22"/>
          <w:szCs w:val="22"/>
        </w:rPr>
      </w:pPr>
      <w:r>
        <w:rPr>
          <w:rFonts w:asciiTheme="minorHAnsi" w:hAnsiTheme="minorHAnsi"/>
          <w:sz w:val="22"/>
          <w:szCs w:val="22"/>
        </w:rPr>
        <w:lastRenderedPageBreak/>
        <w:t>“It means that, not only do first-timers have to save a significant deposit in order to find more product options but they might not meet the affordability criteria – even if they have a 5% deposit – because the monthly mortgage cost is that much more.</w:t>
      </w:r>
    </w:p>
    <w:p w:rsidR="00F93EC7" w:rsidRDefault="00F93EC7" w:rsidP="0053050C">
      <w:pPr>
        <w:spacing w:line="276" w:lineRule="auto"/>
        <w:rPr>
          <w:rFonts w:asciiTheme="minorHAnsi" w:hAnsiTheme="minorHAnsi"/>
          <w:sz w:val="22"/>
          <w:szCs w:val="22"/>
        </w:rPr>
      </w:pPr>
    </w:p>
    <w:p w:rsidR="00F93EC7" w:rsidRDefault="00F93EC7" w:rsidP="0053050C">
      <w:pPr>
        <w:spacing w:line="276" w:lineRule="auto"/>
        <w:rPr>
          <w:rFonts w:asciiTheme="minorHAnsi" w:hAnsiTheme="minorHAnsi"/>
          <w:sz w:val="22"/>
          <w:szCs w:val="22"/>
        </w:rPr>
      </w:pPr>
      <w:r>
        <w:rPr>
          <w:rFonts w:asciiTheme="minorHAnsi" w:hAnsiTheme="minorHAnsi"/>
          <w:sz w:val="22"/>
          <w:szCs w:val="22"/>
        </w:rPr>
        <w:t>“Government support to first-timers has improved, with cuts to stamp duty and the ongoing extension of the Help to Buy Scheme, but at some point the market has to stand on its own two feet and if lenders were able to use tools such as private mortgage insurance to mitigate their risk, not only would they be able to offer more product choice but they could bring pricing down closer to the levels that those borrowers with bigger deposits benefit from.”</w:t>
      </w:r>
    </w:p>
    <w:p w:rsidR="00740BFC" w:rsidRDefault="00740BFC" w:rsidP="00D64ACC">
      <w:pPr>
        <w:spacing w:line="276" w:lineRule="auto"/>
        <w:rPr>
          <w:rFonts w:asciiTheme="minorHAnsi" w:hAnsiTheme="minorHAnsi"/>
          <w:sz w:val="22"/>
          <w:szCs w:val="22"/>
        </w:rPr>
      </w:pPr>
    </w:p>
    <w:p w:rsidR="00762FE8" w:rsidRDefault="00762FE8" w:rsidP="00762FE8">
      <w:pPr>
        <w:pStyle w:val="NormalWeb"/>
        <w:numPr>
          <w:ilvl w:val="0"/>
          <w:numId w:val="3"/>
        </w:numPr>
        <w:spacing w:before="0" w:beforeAutospacing="0" w:after="0" w:afterAutospacing="0"/>
        <w:jc w:val="center"/>
        <w:rPr>
          <w:rStyle w:val="Strong"/>
          <w:rFonts w:asciiTheme="minorHAnsi" w:hAnsiTheme="minorHAnsi" w:cs="Arial"/>
        </w:rPr>
      </w:pPr>
      <w:r>
        <w:rPr>
          <w:rStyle w:val="Strong"/>
          <w:rFonts w:asciiTheme="minorHAnsi" w:hAnsiTheme="minorHAnsi" w:cs="Arial"/>
          <w:sz w:val="22"/>
          <w:szCs w:val="22"/>
        </w:rPr>
        <w:t>ENDs     -</w:t>
      </w:r>
    </w:p>
    <w:p w:rsidR="00762FE8" w:rsidRDefault="00762FE8" w:rsidP="00762FE8">
      <w:pPr>
        <w:jc w:val="both"/>
        <w:rPr>
          <w:rFonts w:ascii="Calibri" w:hAnsi="Calibri"/>
        </w:rPr>
      </w:pPr>
    </w:p>
    <w:p w:rsidR="00762FE8" w:rsidRPr="00762FE8" w:rsidRDefault="00762FE8" w:rsidP="00762FE8">
      <w:pPr>
        <w:tabs>
          <w:tab w:val="left" w:pos="3960"/>
        </w:tabs>
        <w:spacing w:line="276" w:lineRule="auto"/>
        <w:jc w:val="both"/>
        <w:rPr>
          <w:rFonts w:asciiTheme="minorHAnsi" w:hAnsiTheme="minorHAnsi"/>
          <w:b/>
          <w:sz w:val="22"/>
          <w:szCs w:val="22"/>
        </w:rPr>
      </w:pPr>
      <w:r w:rsidRPr="00762FE8">
        <w:rPr>
          <w:rFonts w:asciiTheme="minorHAnsi" w:hAnsiTheme="minorHAnsi"/>
          <w:b/>
          <w:sz w:val="22"/>
          <w:szCs w:val="22"/>
        </w:rPr>
        <w:t>Methodology</w:t>
      </w:r>
    </w:p>
    <w:p w:rsidR="00762FE8" w:rsidRPr="00762FE8" w:rsidRDefault="00762FE8" w:rsidP="00762FE8">
      <w:pPr>
        <w:spacing w:line="276" w:lineRule="auto"/>
        <w:jc w:val="both"/>
        <w:rPr>
          <w:rFonts w:asciiTheme="minorHAnsi" w:hAnsiTheme="minorHAnsi" w:cs="Arial"/>
          <w:sz w:val="22"/>
          <w:szCs w:val="22"/>
        </w:rPr>
      </w:pPr>
      <w:r w:rsidRPr="00762FE8">
        <w:rPr>
          <w:rFonts w:asciiTheme="minorHAnsi" w:hAnsiTheme="minorHAnsi" w:cs="Arial"/>
          <w:sz w:val="22"/>
          <w:szCs w:val="22"/>
        </w:rPr>
        <w:t xml:space="preserve">The AmTrust Mortgage LTV Tracker has been developed to analyse monthly, quarterly and annual data from the Treasury, the Bank of England and the </w:t>
      </w:r>
      <w:r w:rsidR="006B6BE8">
        <w:rPr>
          <w:rFonts w:asciiTheme="minorHAnsi" w:hAnsiTheme="minorHAnsi" w:cs="Arial"/>
          <w:sz w:val="22"/>
          <w:szCs w:val="22"/>
        </w:rPr>
        <w:t>UK Finance</w:t>
      </w:r>
      <w:r w:rsidRPr="00762FE8">
        <w:rPr>
          <w:rFonts w:asciiTheme="minorHAnsi" w:hAnsiTheme="minorHAnsi" w:cs="Arial"/>
          <w:sz w:val="22"/>
          <w:szCs w:val="22"/>
        </w:rPr>
        <w:t xml:space="preserve"> on product availability, mortgage rates and LTVs. </w:t>
      </w:r>
    </w:p>
    <w:p w:rsidR="00762FE8" w:rsidRPr="00762FE8" w:rsidRDefault="00762FE8" w:rsidP="00762FE8">
      <w:pPr>
        <w:spacing w:line="276" w:lineRule="auto"/>
        <w:jc w:val="both"/>
        <w:rPr>
          <w:rFonts w:asciiTheme="minorHAnsi" w:hAnsiTheme="minorHAnsi" w:cs="Arial"/>
          <w:color w:val="FF0000"/>
          <w:sz w:val="22"/>
          <w:szCs w:val="22"/>
        </w:rPr>
      </w:pPr>
    </w:p>
    <w:p w:rsidR="00762FE8" w:rsidRPr="00762FE8" w:rsidRDefault="00762FE8" w:rsidP="00762FE8">
      <w:pPr>
        <w:spacing w:line="276" w:lineRule="auto"/>
        <w:jc w:val="both"/>
        <w:rPr>
          <w:rFonts w:asciiTheme="minorHAnsi" w:hAnsiTheme="minorHAnsi" w:cs="Arial"/>
          <w:b/>
          <w:sz w:val="22"/>
          <w:szCs w:val="22"/>
        </w:rPr>
      </w:pPr>
      <w:r w:rsidRPr="00762FE8">
        <w:rPr>
          <w:rFonts w:asciiTheme="minorHAnsi" w:hAnsiTheme="minorHAnsi" w:cs="Arial"/>
          <w:b/>
          <w:sz w:val="22"/>
          <w:szCs w:val="22"/>
        </w:rPr>
        <w:t>Media contacts:</w:t>
      </w:r>
    </w:p>
    <w:p w:rsidR="00762FE8" w:rsidRPr="00762FE8" w:rsidRDefault="00762FE8" w:rsidP="00762FE8">
      <w:pPr>
        <w:pStyle w:val="NoSpacing"/>
        <w:spacing w:line="276" w:lineRule="auto"/>
        <w:jc w:val="both"/>
        <w:rPr>
          <w:rFonts w:cs="Arial"/>
        </w:rPr>
      </w:pPr>
      <w:r w:rsidRPr="00762FE8">
        <w:rPr>
          <w:rFonts w:cs="Arial"/>
        </w:rPr>
        <w:t>For more information, please contact:</w:t>
      </w:r>
    </w:p>
    <w:p w:rsidR="00762FE8" w:rsidRPr="00762FE8" w:rsidRDefault="00762FE8" w:rsidP="00762FE8">
      <w:pPr>
        <w:pStyle w:val="NoSpacing"/>
        <w:jc w:val="both"/>
        <w:rPr>
          <w:rFonts w:ascii="Calibri" w:hAnsi="Calibri" w:cs="Arial"/>
        </w:rPr>
      </w:pPr>
      <w:r w:rsidRPr="00762FE8">
        <w:rPr>
          <w:rFonts w:cs="Arial"/>
        </w:rPr>
        <w:t>Patrick Bamford, AmTrust Mortgage &amp; Credit</w:t>
      </w:r>
    </w:p>
    <w:p w:rsidR="00762FE8" w:rsidRPr="00762FE8" w:rsidRDefault="00552FA5" w:rsidP="00762FE8">
      <w:pPr>
        <w:pStyle w:val="NoSpacing"/>
        <w:jc w:val="both"/>
        <w:rPr>
          <w:rFonts w:cs="Arial"/>
        </w:rPr>
      </w:pPr>
      <w:hyperlink r:id="rId6" w:history="1">
        <w:r w:rsidR="00762FE8" w:rsidRPr="00762FE8">
          <w:rPr>
            <w:rStyle w:val="Hyperlink"/>
            <w:rFonts w:cs="Arial"/>
          </w:rPr>
          <w:t>Patrick.bamford@amtrustgroup.com</w:t>
        </w:r>
      </w:hyperlink>
      <w:r w:rsidR="00762FE8" w:rsidRPr="00762FE8">
        <w:rPr>
          <w:rFonts w:cs="Arial"/>
        </w:rPr>
        <w:t>, 020 7152 1384, 07920 702154</w:t>
      </w:r>
    </w:p>
    <w:p w:rsidR="00762FE8" w:rsidRPr="00762FE8" w:rsidRDefault="00762FE8" w:rsidP="00762FE8">
      <w:pPr>
        <w:pStyle w:val="NoSpacing"/>
        <w:rPr>
          <w:rFonts w:cs="Arial"/>
        </w:rPr>
      </w:pPr>
      <w:r w:rsidRPr="00762FE8">
        <w:rPr>
          <w:rFonts w:cs="Arial"/>
        </w:rPr>
        <w:t>Rob Griffiths, Public Relations for AmTrust Mortgage &amp; Credit,</w:t>
      </w:r>
    </w:p>
    <w:p w:rsidR="00762FE8" w:rsidRPr="00762FE8" w:rsidRDefault="00762FE8" w:rsidP="00762FE8">
      <w:pPr>
        <w:pStyle w:val="NoSpacing"/>
        <w:rPr>
          <w:rFonts w:cs="Arial"/>
        </w:rPr>
      </w:pPr>
      <w:r w:rsidRPr="00762FE8">
        <w:rPr>
          <w:rFonts w:cs="Arial"/>
        </w:rPr>
        <w:t xml:space="preserve">White Dragon Communications, </w:t>
      </w:r>
      <w:hyperlink r:id="rId7" w:history="1">
        <w:r w:rsidRPr="00762FE8">
          <w:rPr>
            <w:rStyle w:val="Hyperlink"/>
            <w:rFonts w:cs="Arial"/>
          </w:rPr>
          <w:t>rob@whitedragoncomms.co.uk</w:t>
        </w:r>
      </w:hyperlink>
      <w:r w:rsidRPr="00762FE8">
        <w:rPr>
          <w:rFonts w:cs="Arial"/>
        </w:rPr>
        <w:t>, 07983 641566</w:t>
      </w:r>
    </w:p>
    <w:p w:rsidR="00762FE8" w:rsidRPr="00762FE8" w:rsidRDefault="00762FE8" w:rsidP="00762FE8">
      <w:pPr>
        <w:spacing w:line="276" w:lineRule="auto"/>
        <w:jc w:val="both"/>
        <w:rPr>
          <w:rFonts w:asciiTheme="minorHAnsi" w:hAnsiTheme="minorHAnsi" w:cs="Arial"/>
          <w:b/>
          <w:sz w:val="22"/>
          <w:szCs w:val="22"/>
        </w:rPr>
      </w:pPr>
    </w:p>
    <w:p w:rsidR="00FC3CAF" w:rsidRPr="00FC3CAF" w:rsidRDefault="00FC3CAF" w:rsidP="00FC3CAF">
      <w:pPr>
        <w:pStyle w:val="BasicParagraph"/>
        <w:spacing w:after="90"/>
        <w:rPr>
          <w:rFonts w:asciiTheme="minorHAnsi" w:hAnsiTheme="minorHAnsi" w:cstheme="minorHAnsi"/>
          <w:b/>
          <w:color w:val="auto"/>
          <w:sz w:val="22"/>
          <w:szCs w:val="22"/>
          <w:u w:val="single"/>
          <w:lang w:val="en-US"/>
        </w:rPr>
      </w:pPr>
      <w:r w:rsidRPr="00FC3CAF">
        <w:rPr>
          <w:rFonts w:asciiTheme="minorHAnsi" w:hAnsiTheme="minorHAnsi" w:cstheme="minorHAnsi"/>
          <w:b/>
          <w:color w:val="auto"/>
          <w:sz w:val="22"/>
          <w:szCs w:val="22"/>
          <w:u w:val="single"/>
          <w:lang w:val="en-US"/>
        </w:rPr>
        <w:t>About AmTrust International – Mortgage &amp; Credit</w:t>
      </w:r>
    </w:p>
    <w:p w:rsidR="00FC3CAF" w:rsidRPr="00FC3CAF" w:rsidRDefault="00FC3CAF" w:rsidP="00FC3CAF">
      <w:pPr>
        <w:pStyle w:val="BasicParagraph"/>
        <w:spacing w:after="270"/>
        <w:rPr>
          <w:rFonts w:asciiTheme="minorHAnsi" w:hAnsiTheme="minorHAnsi" w:cstheme="minorHAnsi"/>
          <w:color w:val="auto"/>
          <w:sz w:val="22"/>
          <w:szCs w:val="22"/>
          <w:lang w:val="en-US"/>
        </w:rPr>
      </w:pPr>
      <w:r w:rsidRPr="00FC3CAF">
        <w:rPr>
          <w:rFonts w:asciiTheme="minorHAnsi" w:hAnsiTheme="minorHAnsi" w:cstheme="minorHAnsi"/>
          <w:color w:val="auto"/>
          <w:sz w:val="22"/>
          <w:szCs w:val="22"/>
          <w:lang w:val="en-US"/>
        </w:rPr>
        <w:t xml:space="preserve">AmTrust International’s Mortgage &amp; Credit team focuses on mortgage insurance in the UK and Europe, working with building societies, banks and other financial institutions. </w:t>
      </w:r>
      <w:r>
        <w:rPr>
          <w:rFonts w:asciiTheme="minorHAnsi" w:hAnsiTheme="minorHAnsi" w:cstheme="minorHAnsi"/>
          <w:color w:val="auto"/>
          <w:sz w:val="22"/>
          <w:szCs w:val="22"/>
          <w:lang w:val="en-US"/>
        </w:rPr>
        <w:t xml:space="preserve">It has </w:t>
      </w:r>
      <w:r w:rsidRPr="00FC3CAF">
        <w:rPr>
          <w:rFonts w:asciiTheme="minorHAnsi" w:hAnsiTheme="minorHAnsi" w:cstheme="minorHAnsi"/>
          <w:color w:val="auto"/>
          <w:sz w:val="22"/>
          <w:szCs w:val="22"/>
          <w:lang w:val="en-US"/>
        </w:rPr>
        <w:t xml:space="preserve">been offering flexible mortgage insurance solutions to suit different lender requirements, whether that is on a loan-by-loan basis or at a portfolio level, since 1993. </w:t>
      </w:r>
      <w:r>
        <w:rPr>
          <w:rFonts w:asciiTheme="minorHAnsi" w:hAnsiTheme="minorHAnsi" w:cstheme="minorHAnsi"/>
          <w:color w:val="auto"/>
          <w:sz w:val="22"/>
          <w:szCs w:val="22"/>
          <w:lang w:val="en-US"/>
        </w:rPr>
        <w:t>Its</w:t>
      </w:r>
      <w:r w:rsidRPr="00FC3CAF">
        <w:rPr>
          <w:rFonts w:asciiTheme="minorHAnsi" w:hAnsiTheme="minorHAnsi" w:cstheme="minorHAnsi"/>
          <w:color w:val="auto"/>
          <w:sz w:val="22"/>
          <w:szCs w:val="22"/>
          <w:lang w:val="en-US"/>
        </w:rPr>
        <w:t xml:space="preserve"> protection to lenders makes high loan-to-value mortgage loans (where the borrower does not have a large deposit) available to good credit-quality borrowers. The Mortgage &amp; Credit team has unmatched expertise and capacity including a unique arrangement with highly rated reinsurers.</w:t>
      </w:r>
    </w:p>
    <w:p w:rsidR="00FC3CAF" w:rsidRDefault="00FC3CAF" w:rsidP="00FC3CAF">
      <w:pPr>
        <w:pStyle w:val="BasicParagraph"/>
        <w:rPr>
          <w:rFonts w:asciiTheme="minorHAnsi" w:hAnsiTheme="minorHAnsi" w:cstheme="minorHAnsi"/>
          <w:color w:val="auto"/>
          <w:sz w:val="22"/>
          <w:szCs w:val="22"/>
          <w:lang w:val="en-US"/>
        </w:rPr>
      </w:pPr>
      <w:r w:rsidRPr="00FC3CAF">
        <w:rPr>
          <w:rFonts w:asciiTheme="minorHAnsi" w:hAnsiTheme="minorHAnsi" w:cstheme="minorHAnsi"/>
          <w:color w:val="auto"/>
          <w:sz w:val="22"/>
          <w:szCs w:val="22"/>
          <w:lang w:val="en-US"/>
        </w:rPr>
        <w:t>AmTrust International is a branding name of AmTrust Europe Limited (AEL), which is authori</w:t>
      </w:r>
      <w:r>
        <w:rPr>
          <w:rFonts w:asciiTheme="minorHAnsi" w:hAnsiTheme="minorHAnsi" w:cstheme="minorHAnsi"/>
          <w:color w:val="auto"/>
          <w:sz w:val="22"/>
          <w:szCs w:val="22"/>
          <w:lang w:val="en-US"/>
        </w:rPr>
        <w:t>s</w:t>
      </w:r>
      <w:r w:rsidRPr="00FC3CAF">
        <w:rPr>
          <w:rFonts w:asciiTheme="minorHAnsi" w:hAnsiTheme="minorHAnsi" w:cstheme="minorHAnsi"/>
          <w:color w:val="auto"/>
          <w:sz w:val="22"/>
          <w:szCs w:val="22"/>
          <w:lang w:val="en-US"/>
        </w:rPr>
        <w:t>ed by the PRA and regulated by the PRA and the FCA.</w:t>
      </w:r>
    </w:p>
    <w:p w:rsidR="00FC3CAF" w:rsidRDefault="00FC3CAF" w:rsidP="00FC3CAF">
      <w:pPr>
        <w:pStyle w:val="BasicParagraph"/>
        <w:rPr>
          <w:rFonts w:asciiTheme="minorHAnsi" w:hAnsiTheme="minorHAnsi" w:cstheme="minorHAnsi"/>
          <w:color w:val="auto"/>
          <w:sz w:val="22"/>
          <w:szCs w:val="22"/>
          <w:lang w:val="en-US"/>
        </w:rPr>
      </w:pPr>
    </w:p>
    <w:p w:rsidR="00FC3CAF" w:rsidRPr="00FC3CAF" w:rsidRDefault="00FC3CAF" w:rsidP="00FC3CAF">
      <w:pPr>
        <w:pStyle w:val="BasicParagraph"/>
        <w:rPr>
          <w:rFonts w:asciiTheme="minorHAnsi" w:hAnsiTheme="minorHAnsi" w:cstheme="minorHAnsi"/>
          <w:color w:val="auto"/>
          <w:sz w:val="22"/>
          <w:szCs w:val="22"/>
          <w:lang w:val="en-US"/>
        </w:rPr>
      </w:pPr>
      <w:r w:rsidRPr="00FC3CAF">
        <w:rPr>
          <w:rFonts w:asciiTheme="minorHAnsi" w:hAnsiTheme="minorHAnsi" w:cstheme="minorHAnsi"/>
          <w:color w:val="auto"/>
          <w:sz w:val="22"/>
          <w:szCs w:val="22"/>
          <w:lang w:val="en-US"/>
        </w:rPr>
        <w:t>AMT Mortgage Insurance Limited was acquired by AmTrust Europe Limited (AEL) in 2016. AEL underwrites insurance products and provides support services to partners, focusing on property, casualty, specialty risk, accident and health, legal</w:t>
      </w:r>
      <w:r w:rsidR="004D4F98">
        <w:rPr>
          <w:rFonts w:asciiTheme="minorHAnsi" w:hAnsiTheme="minorHAnsi" w:cstheme="minorHAnsi"/>
          <w:color w:val="auto"/>
          <w:sz w:val="22"/>
          <w:szCs w:val="22"/>
          <w:lang w:val="en-US"/>
        </w:rPr>
        <w:t xml:space="preserve"> expenses</w:t>
      </w:r>
      <w:r w:rsidRPr="00FC3CAF">
        <w:rPr>
          <w:rFonts w:asciiTheme="minorHAnsi" w:hAnsiTheme="minorHAnsi" w:cstheme="minorHAnsi"/>
          <w:color w:val="auto"/>
          <w:sz w:val="22"/>
          <w:szCs w:val="22"/>
          <w:lang w:val="en-US"/>
        </w:rPr>
        <w:t xml:space="preserve">, surety and warranty insurance products. </w:t>
      </w:r>
    </w:p>
    <w:p w:rsidR="00A54DBF" w:rsidRPr="00A54DBF" w:rsidRDefault="00A54DBF" w:rsidP="00A54DBF">
      <w:pPr>
        <w:pStyle w:val="NormalWeb"/>
        <w:shd w:val="clear" w:color="auto" w:fill="FFFFFF"/>
        <w:spacing w:line="360" w:lineRule="atLeast"/>
        <w:rPr>
          <w:rFonts w:asciiTheme="minorHAnsi" w:hAnsiTheme="minorHAnsi" w:cstheme="minorHAnsi"/>
          <w:color w:val="000000"/>
          <w:sz w:val="22"/>
          <w:szCs w:val="22"/>
          <w:lang w:val="en-US"/>
        </w:rPr>
      </w:pPr>
      <w:r w:rsidRPr="00A54DBF">
        <w:rPr>
          <w:rStyle w:val="Strong"/>
          <w:rFonts w:asciiTheme="minorHAnsi" w:hAnsiTheme="minorHAnsi" w:cstheme="minorHAnsi"/>
          <w:color w:val="000000"/>
          <w:sz w:val="22"/>
          <w:szCs w:val="22"/>
          <w:lang w:val="en-US"/>
        </w:rPr>
        <w:t>About AmTrust Financial Services, Inc.</w:t>
      </w:r>
    </w:p>
    <w:p w:rsidR="00A54DBF" w:rsidRPr="00A54DBF" w:rsidRDefault="00A54DBF" w:rsidP="00A54DBF">
      <w:pPr>
        <w:pStyle w:val="NormalWeb"/>
        <w:shd w:val="clear" w:color="auto" w:fill="FFFFFF"/>
        <w:spacing w:line="360" w:lineRule="atLeast"/>
        <w:rPr>
          <w:rFonts w:asciiTheme="minorHAnsi" w:hAnsiTheme="minorHAnsi" w:cstheme="minorHAnsi"/>
          <w:color w:val="000000"/>
          <w:sz w:val="22"/>
          <w:szCs w:val="22"/>
          <w:lang w:val="en-US"/>
        </w:rPr>
      </w:pPr>
      <w:r w:rsidRPr="00A54DBF">
        <w:rPr>
          <w:rFonts w:asciiTheme="minorHAnsi" w:hAnsiTheme="minorHAnsi" w:cstheme="minorHAnsi"/>
          <w:color w:val="000000"/>
          <w:sz w:val="22"/>
          <w:szCs w:val="22"/>
          <w:lang w:val="en-US"/>
        </w:rPr>
        <w:t xml:space="preserve">AmTrust Financial Services, Inc., a multinational insurance holding company headquartered in New York, offers specialty property and casualty insurance products, including workers' compensation, </w:t>
      </w:r>
      <w:r w:rsidRPr="00A54DBF">
        <w:rPr>
          <w:rFonts w:asciiTheme="minorHAnsi" w:hAnsiTheme="minorHAnsi" w:cstheme="minorHAnsi"/>
          <w:color w:val="000000"/>
          <w:sz w:val="22"/>
          <w:szCs w:val="22"/>
          <w:lang w:val="en-US"/>
        </w:rPr>
        <w:lastRenderedPageBreak/>
        <w:t xml:space="preserve">commercial automobile, general liability and extended service and warranty coverage through its primary insurance subsidiaries rated "A" (Excellent) by A.M. Best. AmTrust is included in the Fortune 500 list of largest companies. For more information about AmTrust visit </w:t>
      </w:r>
      <w:hyperlink r:id="rId8" w:history="1">
        <w:r w:rsidRPr="00A54DBF">
          <w:rPr>
            <w:rStyle w:val="Hyperlink"/>
            <w:rFonts w:asciiTheme="minorHAnsi" w:hAnsiTheme="minorHAnsi" w:cstheme="minorHAnsi"/>
            <w:sz w:val="22"/>
            <w:szCs w:val="22"/>
            <w:lang w:val="en-US"/>
          </w:rPr>
          <w:t>www.amtrustfinancial.com</w:t>
        </w:r>
      </w:hyperlink>
      <w:r w:rsidRPr="00A54DBF">
        <w:rPr>
          <w:rFonts w:asciiTheme="minorHAnsi" w:hAnsiTheme="minorHAnsi" w:cstheme="minorHAnsi"/>
          <w:color w:val="000000"/>
          <w:sz w:val="22"/>
          <w:szCs w:val="22"/>
          <w:lang w:val="en-US"/>
        </w:rPr>
        <w:t>.</w:t>
      </w:r>
    </w:p>
    <w:p w:rsidR="00762FE8" w:rsidRPr="00762FE8" w:rsidRDefault="00762FE8" w:rsidP="00762FE8">
      <w:pPr>
        <w:spacing w:line="276" w:lineRule="auto"/>
        <w:rPr>
          <w:rFonts w:asciiTheme="minorHAnsi" w:hAnsiTheme="minorHAnsi" w:cs="Arial"/>
          <w:sz w:val="22"/>
          <w:szCs w:val="22"/>
        </w:rPr>
      </w:pPr>
    </w:p>
    <w:p w:rsidR="00762FE8" w:rsidRDefault="00762FE8" w:rsidP="00762FE8">
      <w:pPr>
        <w:spacing w:line="276" w:lineRule="auto"/>
      </w:pPr>
      <w:r w:rsidRPr="00762FE8">
        <w:rPr>
          <w:rFonts w:asciiTheme="minorHAnsi" w:hAnsiTheme="minorHAnsi" w:cs="Arial"/>
          <w:sz w:val="22"/>
          <w:szCs w:val="22"/>
        </w:rPr>
        <w:t xml:space="preserve">For further information on the AmTrust Group please contact Denise Johnson, European Marketing Manager on +44 (0)115 934 8973 or visit </w:t>
      </w:r>
      <w:hyperlink r:id="rId9" w:history="1">
        <w:r w:rsidRPr="00762FE8">
          <w:rPr>
            <w:rStyle w:val="Hyperlink"/>
            <w:rFonts w:asciiTheme="minorHAnsi" w:hAnsiTheme="minorHAnsi" w:cs="Arial"/>
            <w:sz w:val="22"/>
            <w:szCs w:val="22"/>
          </w:rPr>
          <w:t>www.amtrustinternational.com</w:t>
        </w:r>
      </w:hyperlink>
    </w:p>
    <w:p w:rsidR="00A54DBF" w:rsidRDefault="00A54DBF" w:rsidP="00762FE8">
      <w:pPr>
        <w:spacing w:line="276" w:lineRule="auto"/>
      </w:pPr>
    </w:p>
    <w:p w:rsidR="00A54DBF" w:rsidRPr="00762FE8" w:rsidRDefault="00A54DBF" w:rsidP="00762FE8">
      <w:pPr>
        <w:spacing w:line="276" w:lineRule="auto"/>
        <w:rPr>
          <w:rFonts w:asciiTheme="minorHAnsi" w:hAnsiTheme="minorHAnsi" w:cs="Arial"/>
          <w:sz w:val="22"/>
          <w:szCs w:val="22"/>
        </w:rPr>
      </w:pPr>
    </w:p>
    <w:p w:rsidR="008F2D49" w:rsidRPr="00A222FF" w:rsidRDefault="008F2D49" w:rsidP="00DA1777">
      <w:pPr>
        <w:spacing w:line="276" w:lineRule="auto"/>
        <w:jc w:val="both"/>
        <w:rPr>
          <w:rFonts w:asciiTheme="minorHAnsi" w:hAnsiTheme="minorHAnsi"/>
          <w:sz w:val="22"/>
          <w:szCs w:val="22"/>
        </w:rPr>
      </w:pPr>
    </w:p>
    <w:p w:rsidR="008F2D49" w:rsidRDefault="008F2D49" w:rsidP="00F26B35"/>
    <w:sectPr w:rsidR="008F2D49" w:rsidSect="00B340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C49E4"/>
    <w:multiLevelType w:val="hybridMultilevel"/>
    <w:tmpl w:val="D220AEA4"/>
    <w:lvl w:ilvl="0" w:tplc="7F1CD27E">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1FA32A8"/>
    <w:multiLevelType w:val="hybridMultilevel"/>
    <w:tmpl w:val="7EA61084"/>
    <w:lvl w:ilvl="0" w:tplc="32E858A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6B35"/>
    <w:rsid w:val="00002CC1"/>
    <w:rsid w:val="00013185"/>
    <w:rsid w:val="00034A58"/>
    <w:rsid w:val="00062444"/>
    <w:rsid w:val="000633D1"/>
    <w:rsid w:val="00080B1F"/>
    <w:rsid w:val="000D08E4"/>
    <w:rsid w:val="000E6B96"/>
    <w:rsid w:val="000F1A65"/>
    <w:rsid w:val="00115C5E"/>
    <w:rsid w:val="00122F0D"/>
    <w:rsid w:val="00124A51"/>
    <w:rsid w:val="0013206F"/>
    <w:rsid w:val="00133FE7"/>
    <w:rsid w:val="001418EF"/>
    <w:rsid w:val="001427C1"/>
    <w:rsid w:val="0014584A"/>
    <w:rsid w:val="0014614B"/>
    <w:rsid w:val="00151495"/>
    <w:rsid w:val="0015761A"/>
    <w:rsid w:val="00164BB6"/>
    <w:rsid w:val="0017296E"/>
    <w:rsid w:val="00195643"/>
    <w:rsid w:val="001A00A8"/>
    <w:rsid w:val="001B6176"/>
    <w:rsid w:val="001B6BEA"/>
    <w:rsid w:val="001C003E"/>
    <w:rsid w:val="001D1E51"/>
    <w:rsid w:val="001F20D4"/>
    <w:rsid w:val="001F29B4"/>
    <w:rsid w:val="00215ABA"/>
    <w:rsid w:val="00267484"/>
    <w:rsid w:val="00282D84"/>
    <w:rsid w:val="00295C3C"/>
    <w:rsid w:val="002A4266"/>
    <w:rsid w:val="002A57BF"/>
    <w:rsid w:val="002B7049"/>
    <w:rsid w:val="002B7495"/>
    <w:rsid w:val="002D4DC8"/>
    <w:rsid w:val="002D5E78"/>
    <w:rsid w:val="002F281F"/>
    <w:rsid w:val="002F3C45"/>
    <w:rsid w:val="00316FC7"/>
    <w:rsid w:val="00345780"/>
    <w:rsid w:val="00357CAC"/>
    <w:rsid w:val="003802F4"/>
    <w:rsid w:val="003851DB"/>
    <w:rsid w:val="003A48C6"/>
    <w:rsid w:val="003A69B1"/>
    <w:rsid w:val="003B0046"/>
    <w:rsid w:val="003B7101"/>
    <w:rsid w:val="003D06AD"/>
    <w:rsid w:val="003D25E0"/>
    <w:rsid w:val="004131A2"/>
    <w:rsid w:val="00432C75"/>
    <w:rsid w:val="004465D6"/>
    <w:rsid w:val="00454794"/>
    <w:rsid w:val="00480ACC"/>
    <w:rsid w:val="004845E8"/>
    <w:rsid w:val="0049736A"/>
    <w:rsid w:val="004A5E2C"/>
    <w:rsid w:val="004D4F98"/>
    <w:rsid w:val="004E5350"/>
    <w:rsid w:val="004F2AE2"/>
    <w:rsid w:val="004F6361"/>
    <w:rsid w:val="00512400"/>
    <w:rsid w:val="00514FAB"/>
    <w:rsid w:val="0053050C"/>
    <w:rsid w:val="00530BAA"/>
    <w:rsid w:val="005359B4"/>
    <w:rsid w:val="00536D59"/>
    <w:rsid w:val="00540BCB"/>
    <w:rsid w:val="00542334"/>
    <w:rsid w:val="00552FA5"/>
    <w:rsid w:val="0055572A"/>
    <w:rsid w:val="00573F55"/>
    <w:rsid w:val="0057480D"/>
    <w:rsid w:val="00595F3B"/>
    <w:rsid w:val="005B3F00"/>
    <w:rsid w:val="005D237B"/>
    <w:rsid w:val="005E486C"/>
    <w:rsid w:val="005E59B6"/>
    <w:rsid w:val="005E6345"/>
    <w:rsid w:val="00605E9C"/>
    <w:rsid w:val="00607328"/>
    <w:rsid w:val="00625A8F"/>
    <w:rsid w:val="006272E6"/>
    <w:rsid w:val="0062760C"/>
    <w:rsid w:val="006517C3"/>
    <w:rsid w:val="00675B3E"/>
    <w:rsid w:val="00693F75"/>
    <w:rsid w:val="006A3C28"/>
    <w:rsid w:val="006B6BE8"/>
    <w:rsid w:val="006C0053"/>
    <w:rsid w:val="006E291D"/>
    <w:rsid w:val="006E397C"/>
    <w:rsid w:val="00712AA4"/>
    <w:rsid w:val="00740BFC"/>
    <w:rsid w:val="00744626"/>
    <w:rsid w:val="00757D44"/>
    <w:rsid w:val="00762FE8"/>
    <w:rsid w:val="00770FA2"/>
    <w:rsid w:val="00794842"/>
    <w:rsid w:val="007956AD"/>
    <w:rsid w:val="007975EC"/>
    <w:rsid w:val="007E420B"/>
    <w:rsid w:val="00811644"/>
    <w:rsid w:val="0081229E"/>
    <w:rsid w:val="008231E5"/>
    <w:rsid w:val="00824AF6"/>
    <w:rsid w:val="00863158"/>
    <w:rsid w:val="00894B87"/>
    <w:rsid w:val="008B2715"/>
    <w:rsid w:val="008C20E8"/>
    <w:rsid w:val="008C6756"/>
    <w:rsid w:val="008C73CF"/>
    <w:rsid w:val="008D2B4A"/>
    <w:rsid w:val="008F2D49"/>
    <w:rsid w:val="009021C9"/>
    <w:rsid w:val="0090453B"/>
    <w:rsid w:val="009108C7"/>
    <w:rsid w:val="00921905"/>
    <w:rsid w:val="00923394"/>
    <w:rsid w:val="00927719"/>
    <w:rsid w:val="00940D5B"/>
    <w:rsid w:val="009614CD"/>
    <w:rsid w:val="00983665"/>
    <w:rsid w:val="009862C1"/>
    <w:rsid w:val="00990B89"/>
    <w:rsid w:val="009934A8"/>
    <w:rsid w:val="009A56E1"/>
    <w:rsid w:val="009B41AE"/>
    <w:rsid w:val="009B5DF8"/>
    <w:rsid w:val="009C7E8F"/>
    <w:rsid w:val="009D5966"/>
    <w:rsid w:val="009E1922"/>
    <w:rsid w:val="009F07D7"/>
    <w:rsid w:val="00A00146"/>
    <w:rsid w:val="00A04909"/>
    <w:rsid w:val="00A30A63"/>
    <w:rsid w:val="00A320C9"/>
    <w:rsid w:val="00A3575A"/>
    <w:rsid w:val="00A36FC4"/>
    <w:rsid w:val="00A424E3"/>
    <w:rsid w:val="00A43BE0"/>
    <w:rsid w:val="00A44391"/>
    <w:rsid w:val="00A54DBF"/>
    <w:rsid w:val="00A90278"/>
    <w:rsid w:val="00A93212"/>
    <w:rsid w:val="00AC5C33"/>
    <w:rsid w:val="00AD0982"/>
    <w:rsid w:val="00AD3ADD"/>
    <w:rsid w:val="00AD6D05"/>
    <w:rsid w:val="00AE0816"/>
    <w:rsid w:val="00AE1A68"/>
    <w:rsid w:val="00AF0982"/>
    <w:rsid w:val="00AF26BD"/>
    <w:rsid w:val="00B07C8F"/>
    <w:rsid w:val="00B16457"/>
    <w:rsid w:val="00B34051"/>
    <w:rsid w:val="00B3535A"/>
    <w:rsid w:val="00B362A5"/>
    <w:rsid w:val="00B36578"/>
    <w:rsid w:val="00B40902"/>
    <w:rsid w:val="00B451FE"/>
    <w:rsid w:val="00B53C95"/>
    <w:rsid w:val="00B672CC"/>
    <w:rsid w:val="00B75B27"/>
    <w:rsid w:val="00B804CA"/>
    <w:rsid w:val="00BA4343"/>
    <w:rsid w:val="00BB3C68"/>
    <w:rsid w:val="00C050B4"/>
    <w:rsid w:val="00C21A28"/>
    <w:rsid w:val="00C256D9"/>
    <w:rsid w:val="00C26EBA"/>
    <w:rsid w:val="00C35859"/>
    <w:rsid w:val="00C40481"/>
    <w:rsid w:val="00C477A1"/>
    <w:rsid w:val="00CA1CDF"/>
    <w:rsid w:val="00CB2021"/>
    <w:rsid w:val="00CD53FF"/>
    <w:rsid w:val="00D1501E"/>
    <w:rsid w:val="00D445C2"/>
    <w:rsid w:val="00D5689A"/>
    <w:rsid w:val="00D64ACC"/>
    <w:rsid w:val="00DA1777"/>
    <w:rsid w:val="00DA1D93"/>
    <w:rsid w:val="00DB6F58"/>
    <w:rsid w:val="00E0211A"/>
    <w:rsid w:val="00E05EB6"/>
    <w:rsid w:val="00E26F9E"/>
    <w:rsid w:val="00E3324F"/>
    <w:rsid w:val="00E378C8"/>
    <w:rsid w:val="00E66F0A"/>
    <w:rsid w:val="00E7136F"/>
    <w:rsid w:val="00E727B7"/>
    <w:rsid w:val="00E807E8"/>
    <w:rsid w:val="00E86512"/>
    <w:rsid w:val="00E92E1B"/>
    <w:rsid w:val="00E943D7"/>
    <w:rsid w:val="00EC2401"/>
    <w:rsid w:val="00ED611A"/>
    <w:rsid w:val="00ED7019"/>
    <w:rsid w:val="00EF1147"/>
    <w:rsid w:val="00EF131C"/>
    <w:rsid w:val="00F03932"/>
    <w:rsid w:val="00F21C6A"/>
    <w:rsid w:val="00F252D8"/>
    <w:rsid w:val="00F26B35"/>
    <w:rsid w:val="00F50A56"/>
    <w:rsid w:val="00F6469F"/>
    <w:rsid w:val="00F76182"/>
    <w:rsid w:val="00F87B90"/>
    <w:rsid w:val="00F93EC7"/>
    <w:rsid w:val="00FA5577"/>
    <w:rsid w:val="00FC3CAF"/>
    <w:rsid w:val="00FD038D"/>
    <w:rsid w:val="00FE01BC"/>
    <w:rsid w:val="00FE3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B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B3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F26B35"/>
  </w:style>
  <w:style w:type="character" w:styleId="Hyperlink">
    <w:name w:val="Hyperlink"/>
    <w:basedOn w:val="DefaultParagraphFont"/>
    <w:uiPriority w:val="99"/>
    <w:semiHidden/>
    <w:rsid w:val="008F2D49"/>
    <w:rPr>
      <w:rFonts w:cs="Times New Roman"/>
      <w:color w:val="0000FF"/>
      <w:u w:val="single"/>
    </w:rPr>
  </w:style>
  <w:style w:type="paragraph" w:styleId="NormalWeb">
    <w:name w:val="Normal (Web)"/>
    <w:basedOn w:val="Normal"/>
    <w:uiPriority w:val="99"/>
    <w:rsid w:val="008F2D49"/>
    <w:pPr>
      <w:spacing w:before="100" w:beforeAutospacing="1" w:after="100" w:afterAutospacing="1"/>
    </w:pPr>
    <w:rPr>
      <w:lang w:val="en-IE" w:eastAsia="en-IE"/>
    </w:rPr>
  </w:style>
  <w:style w:type="character" w:styleId="Strong">
    <w:name w:val="Strong"/>
    <w:basedOn w:val="DefaultParagraphFont"/>
    <w:uiPriority w:val="22"/>
    <w:qFormat/>
    <w:rsid w:val="008F2D49"/>
    <w:rPr>
      <w:rFonts w:cs="Times New Roman"/>
      <w:b/>
      <w:bCs/>
    </w:rPr>
  </w:style>
  <w:style w:type="paragraph" w:styleId="NoSpacing">
    <w:name w:val="No Spacing"/>
    <w:uiPriority w:val="1"/>
    <w:qFormat/>
    <w:rsid w:val="008F2D49"/>
    <w:pPr>
      <w:spacing w:after="0" w:line="240" w:lineRule="auto"/>
    </w:pPr>
  </w:style>
  <w:style w:type="paragraph" w:styleId="BalloonText">
    <w:name w:val="Balloon Text"/>
    <w:basedOn w:val="Normal"/>
    <w:link w:val="BalloonTextChar"/>
    <w:uiPriority w:val="99"/>
    <w:semiHidden/>
    <w:unhideWhenUsed/>
    <w:rsid w:val="00573F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F55"/>
    <w:rPr>
      <w:rFonts w:ascii="Segoe UI" w:eastAsia="Times New Roman" w:hAnsi="Segoe UI" w:cs="Segoe UI"/>
      <w:sz w:val="18"/>
      <w:szCs w:val="18"/>
      <w:lang w:val="en-US"/>
    </w:rPr>
  </w:style>
  <w:style w:type="paragraph" w:styleId="ListParagraph">
    <w:name w:val="List Paragraph"/>
    <w:basedOn w:val="Normal"/>
    <w:uiPriority w:val="34"/>
    <w:qFormat/>
    <w:rsid w:val="00573F55"/>
    <w:pPr>
      <w:ind w:left="720"/>
      <w:contextualSpacing/>
    </w:pPr>
  </w:style>
  <w:style w:type="character" w:styleId="CommentReference">
    <w:name w:val="annotation reference"/>
    <w:basedOn w:val="DefaultParagraphFont"/>
    <w:uiPriority w:val="99"/>
    <w:semiHidden/>
    <w:unhideWhenUsed/>
    <w:rsid w:val="00712AA4"/>
    <w:rPr>
      <w:sz w:val="16"/>
      <w:szCs w:val="16"/>
    </w:rPr>
  </w:style>
  <w:style w:type="paragraph" w:styleId="CommentText">
    <w:name w:val="annotation text"/>
    <w:basedOn w:val="Normal"/>
    <w:link w:val="CommentTextChar"/>
    <w:uiPriority w:val="99"/>
    <w:semiHidden/>
    <w:unhideWhenUsed/>
    <w:rsid w:val="00712AA4"/>
    <w:rPr>
      <w:sz w:val="20"/>
      <w:szCs w:val="20"/>
    </w:rPr>
  </w:style>
  <w:style w:type="character" w:customStyle="1" w:styleId="CommentTextChar">
    <w:name w:val="Comment Text Char"/>
    <w:basedOn w:val="DefaultParagraphFont"/>
    <w:link w:val="CommentText"/>
    <w:uiPriority w:val="99"/>
    <w:semiHidden/>
    <w:rsid w:val="00712AA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12AA4"/>
    <w:rPr>
      <w:b/>
      <w:bCs/>
    </w:rPr>
  </w:style>
  <w:style w:type="character" w:customStyle="1" w:styleId="CommentSubjectChar">
    <w:name w:val="Comment Subject Char"/>
    <w:basedOn w:val="CommentTextChar"/>
    <w:link w:val="CommentSubject"/>
    <w:uiPriority w:val="99"/>
    <w:semiHidden/>
    <w:rsid w:val="00712AA4"/>
    <w:rPr>
      <w:rFonts w:ascii="Times New Roman" w:eastAsia="Times New Roman" w:hAnsi="Times New Roman" w:cs="Times New Roman"/>
      <w:b/>
      <w:bCs/>
      <w:sz w:val="20"/>
      <w:szCs w:val="20"/>
      <w:lang w:val="en-US"/>
    </w:rPr>
  </w:style>
  <w:style w:type="character" w:customStyle="1" w:styleId="apple-converted-space">
    <w:name w:val="apple-converted-space"/>
    <w:basedOn w:val="DefaultParagraphFont"/>
    <w:rsid w:val="00F252D8"/>
  </w:style>
  <w:style w:type="paragraph" w:customStyle="1" w:styleId="BasicParagraph">
    <w:name w:val="[Basic Paragraph]"/>
    <w:basedOn w:val="Normal"/>
    <w:uiPriority w:val="99"/>
    <w:rsid w:val="00FC3CAF"/>
    <w:pPr>
      <w:autoSpaceDE w:val="0"/>
      <w:autoSpaceDN w:val="0"/>
      <w:spacing w:line="288" w:lineRule="auto"/>
    </w:pPr>
    <w:rPr>
      <w:rFonts w:ascii="MinionPro-Regular" w:eastAsiaTheme="minorHAnsi" w:hAnsi="MinionPro-Regular"/>
      <w:color w:val="000000"/>
      <w:lang w:val="en-GB" w:eastAsia="en-GB"/>
    </w:rPr>
  </w:style>
</w:styles>
</file>

<file path=word/webSettings.xml><?xml version="1.0" encoding="utf-8"?>
<w:webSettings xmlns:r="http://schemas.openxmlformats.org/officeDocument/2006/relationships" xmlns:w="http://schemas.openxmlformats.org/wordprocessingml/2006/main">
  <w:divs>
    <w:div w:id="229925717">
      <w:bodyDiv w:val="1"/>
      <w:marLeft w:val="0"/>
      <w:marRight w:val="0"/>
      <w:marTop w:val="0"/>
      <w:marBottom w:val="0"/>
      <w:divBdr>
        <w:top w:val="none" w:sz="0" w:space="0" w:color="auto"/>
        <w:left w:val="none" w:sz="0" w:space="0" w:color="auto"/>
        <w:bottom w:val="none" w:sz="0" w:space="0" w:color="auto"/>
        <w:right w:val="none" w:sz="0" w:space="0" w:color="auto"/>
      </w:divBdr>
    </w:div>
    <w:div w:id="799612879">
      <w:bodyDiv w:val="1"/>
      <w:marLeft w:val="0"/>
      <w:marRight w:val="0"/>
      <w:marTop w:val="0"/>
      <w:marBottom w:val="0"/>
      <w:divBdr>
        <w:top w:val="none" w:sz="0" w:space="0" w:color="auto"/>
        <w:left w:val="none" w:sz="0" w:space="0" w:color="auto"/>
        <w:bottom w:val="none" w:sz="0" w:space="0" w:color="auto"/>
        <w:right w:val="none" w:sz="0" w:space="0" w:color="auto"/>
      </w:divBdr>
    </w:div>
    <w:div w:id="1129711442">
      <w:bodyDiv w:val="1"/>
      <w:marLeft w:val="0"/>
      <w:marRight w:val="0"/>
      <w:marTop w:val="0"/>
      <w:marBottom w:val="0"/>
      <w:divBdr>
        <w:top w:val="none" w:sz="0" w:space="0" w:color="auto"/>
        <w:left w:val="none" w:sz="0" w:space="0" w:color="auto"/>
        <w:bottom w:val="none" w:sz="0" w:space="0" w:color="auto"/>
        <w:right w:val="none" w:sz="0" w:space="0" w:color="auto"/>
      </w:divBdr>
    </w:div>
    <w:div w:id="1293025542">
      <w:bodyDiv w:val="1"/>
      <w:marLeft w:val="0"/>
      <w:marRight w:val="0"/>
      <w:marTop w:val="0"/>
      <w:marBottom w:val="0"/>
      <w:divBdr>
        <w:top w:val="none" w:sz="0" w:space="0" w:color="auto"/>
        <w:left w:val="none" w:sz="0" w:space="0" w:color="auto"/>
        <w:bottom w:val="none" w:sz="0" w:space="0" w:color="auto"/>
        <w:right w:val="none" w:sz="0" w:space="0" w:color="auto"/>
      </w:divBdr>
    </w:div>
    <w:div w:id="1551305005">
      <w:bodyDiv w:val="1"/>
      <w:marLeft w:val="0"/>
      <w:marRight w:val="0"/>
      <w:marTop w:val="0"/>
      <w:marBottom w:val="0"/>
      <w:divBdr>
        <w:top w:val="none" w:sz="0" w:space="0" w:color="auto"/>
        <w:left w:val="none" w:sz="0" w:space="0" w:color="auto"/>
        <w:bottom w:val="none" w:sz="0" w:space="0" w:color="auto"/>
        <w:right w:val="none" w:sz="0" w:space="0" w:color="auto"/>
      </w:divBdr>
    </w:div>
    <w:div w:id="1682852534">
      <w:bodyDiv w:val="1"/>
      <w:marLeft w:val="0"/>
      <w:marRight w:val="0"/>
      <w:marTop w:val="0"/>
      <w:marBottom w:val="0"/>
      <w:divBdr>
        <w:top w:val="none" w:sz="0" w:space="0" w:color="auto"/>
        <w:left w:val="none" w:sz="0" w:space="0" w:color="auto"/>
        <w:bottom w:val="none" w:sz="0" w:space="0" w:color="auto"/>
        <w:right w:val="none" w:sz="0" w:space="0" w:color="auto"/>
      </w:divBdr>
    </w:div>
    <w:div w:id="194950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trustfinancial.com" TargetMode="External"/><Relationship Id="rId3" Type="http://schemas.openxmlformats.org/officeDocument/2006/relationships/settings" Target="settings.xml"/><Relationship Id="rId7" Type="http://schemas.openxmlformats.org/officeDocument/2006/relationships/hyperlink" Target="mailto:rob@whitedragoncomm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ck.bamford@amtrustgroup.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trust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1133</TotalTime>
  <Pages>5</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Organisation name</Company>
  <LinksUpToDate>false</LinksUpToDate>
  <CharactersWithSpaces>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Heslop</dc:creator>
  <cp:lastModifiedBy>Hewlett-Packard Company</cp:lastModifiedBy>
  <cp:revision>12</cp:revision>
  <cp:lastPrinted>2018-10-01T10:27:00Z</cp:lastPrinted>
  <dcterms:created xsi:type="dcterms:W3CDTF">2018-10-01T11:59:00Z</dcterms:created>
  <dcterms:modified xsi:type="dcterms:W3CDTF">2018-10-10T11:08:00Z</dcterms:modified>
</cp:coreProperties>
</file>